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9C" w:rsidRDefault="008B5FE6">
      <w:pPr>
        <w:widowControl/>
        <w:jc w:val="center"/>
        <w:rPr>
          <w:rFonts w:ascii="標楷體" w:eastAsia="標楷體" w:hAnsi="標楷體" w:cs="新細明體" w:hint="eastAsia"/>
          <w:b/>
          <w:bCs/>
          <w:color w:val="333399"/>
          <w:kern w:val="0"/>
          <w:sz w:val="36"/>
          <w:szCs w:val="36"/>
        </w:rPr>
      </w:pPr>
      <w:r>
        <w:rPr>
          <w:rFonts w:ascii="標楷體" w:eastAsia="標楷體" w:hAnsi="標楷體" w:cs="新細明體" w:hint="eastAsia"/>
          <w:b/>
          <w:bCs/>
          <w:color w:val="333399"/>
          <w:kern w:val="0"/>
          <w:sz w:val="36"/>
          <w:szCs w:val="36"/>
        </w:rPr>
        <w:t>臺北市立大學</w:t>
      </w:r>
      <w:r w:rsidR="008A319C">
        <w:rPr>
          <w:rFonts w:ascii="標楷體" w:eastAsia="標楷體" w:hAnsi="標楷體" w:cs="新細明體" w:hint="eastAsia"/>
          <w:b/>
          <w:bCs/>
          <w:color w:val="333399"/>
          <w:kern w:val="0"/>
          <w:sz w:val="36"/>
          <w:szCs w:val="36"/>
        </w:rPr>
        <w:t>校務基金問答彙編</w:t>
      </w:r>
    </w:p>
    <w:p w:rsidR="008A319C" w:rsidRDefault="008A319C">
      <w:pPr>
        <w:widowControl/>
        <w:jc w:val="both"/>
        <w:rPr>
          <w:rFonts w:ascii="標楷體" w:eastAsia="標楷體" w:hAnsi="標楷體" w:cs="新細明體"/>
          <w:b/>
          <w:color w:val="333399"/>
          <w:kern w:val="0"/>
          <w:sz w:val="28"/>
          <w:szCs w:val="28"/>
        </w:rPr>
      </w:pPr>
      <w:r>
        <w:rPr>
          <w:rFonts w:ascii="標楷體" w:eastAsia="標楷體" w:hAnsi="標楷體" w:cs="新細明體" w:hint="eastAsia"/>
          <w:b/>
          <w:bCs/>
          <w:color w:val="333399"/>
          <w:kern w:val="0"/>
          <w:sz w:val="28"/>
          <w:szCs w:val="28"/>
        </w:rPr>
        <w:t>校務基金之基本理念</w:t>
      </w:r>
    </w:p>
    <w:p w:rsidR="008A319C" w:rsidRDefault="008A319C">
      <w:pPr>
        <w:widowControl/>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○一問：何謂大學校院校務基金？</w:t>
      </w:r>
    </w:p>
    <w:p w:rsidR="008A319C" w:rsidRDefault="008A319C" w:rsidP="008B5FE6">
      <w:pPr>
        <w:widowControl/>
        <w:ind w:leftChars="18" w:left="540" w:hangingChars="207" w:hanging="497"/>
        <w:jc w:val="both"/>
        <w:rPr>
          <w:rFonts w:ascii="標楷體" w:eastAsia="標楷體" w:hAnsi="標楷體" w:cs="新細明體" w:hint="eastAsia"/>
          <w:bCs/>
          <w:kern w:val="0"/>
        </w:rPr>
      </w:pPr>
      <w:r>
        <w:rPr>
          <w:rFonts w:ascii="標楷體" w:eastAsia="標楷體" w:hAnsi="標楷體" w:cs="新細明體" w:hint="eastAsia"/>
          <w:bCs/>
          <w:kern w:val="0"/>
        </w:rPr>
        <w:t>答：</w:t>
      </w:r>
      <w:r w:rsidR="00366490">
        <w:rPr>
          <w:rFonts w:ascii="標楷體" w:eastAsia="標楷體" w:hAnsi="標楷體" w:cs="新細明體" w:hint="eastAsia"/>
          <w:bCs/>
          <w:kern w:val="0"/>
        </w:rPr>
        <w:t>為</w:t>
      </w:r>
      <w:r w:rsidR="00366490" w:rsidRPr="008B5FE6">
        <w:rPr>
          <w:rFonts w:ascii="標楷體" w:eastAsia="標楷體" w:hAnsi="標楷體" w:cs="新細明體"/>
          <w:bCs/>
          <w:kern w:val="0"/>
        </w:rPr>
        <w:t>促進教育健全發展，提昇教育經費運用績效。</w:t>
      </w:r>
      <w:r w:rsidR="008B5FE6" w:rsidRPr="008B5FE6">
        <w:rPr>
          <w:rFonts w:ascii="標楷體" w:eastAsia="標楷體" w:hAnsi="標楷體" w:cs="新細明體"/>
          <w:bCs/>
          <w:kern w:val="0"/>
        </w:rPr>
        <w:t>本校依「臺北巿市立大學校院校務發展基金收支保管及運用自治條例」規定設置「臺北市立教育大學校務發展基金」。</w:t>
      </w:r>
    </w:p>
    <w:p w:rsidR="008B5FE6" w:rsidRDefault="008B5FE6" w:rsidP="008B5FE6">
      <w:pPr>
        <w:widowControl/>
        <w:ind w:leftChars="18" w:left="540" w:hangingChars="207" w:hanging="497"/>
        <w:jc w:val="both"/>
        <w:rPr>
          <w:rFonts w:ascii="標楷體" w:eastAsia="標楷體" w:hAnsi="標楷體" w:cs="新細明體" w:hint="eastAsia"/>
          <w:bCs/>
          <w:kern w:val="0"/>
        </w:rPr>
      </w:pPr>
    </w:p>
    <w:p w:rsidR="008A319C" w:rsidRDefault="008A319C">
      <w:pPr>
        <w:widowControl/>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○二問：實施校務基金制度基本理念為何？</w:t>
      </w:r>
    </w:p>
    <w:p w:rsidR="008A319C" w:rsidRDefault="008A319C">
      <w:pPr>
        <w:widowControl/>
        <w:ind w:left="900" w:hanging="900"/>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numPr>
          <w:ilvl w:val="0"/>
          <w:numId w:val="1"/>
        </w:numPr>
        <w:tabs>
          <w:tab w:val="clear" w:pos="360"/>
          <w:tab w:val="num" w:pos="540"/>
        </w:tabs>
        <w:ind w:left="539" w:hanging="539"/>
        <w:jc w:val="both"/>
        <w:rPr>
          <w:rFonts w:ascii="標楷體" w:eastAsia="標楷體" w:hAnsi="標楷體" w:cs="新細明體" w:hint="eastAsia"/>
          <w:kern w:val="0"/>
        </w:rPr>
      </w:pPr>
      <w:r>
        <w:rPr>
          <w:rFonts w:ascii="標楷體" w:eastAsia="標楷體" w:hAnsi="標楷體" w:cs="新細明體" w:hint="eastAsia"/>
          <w:bCs/>
          <w:kern w:val="0"/>
        </w:rPr>
        <w:t>落實大學自主：現行公務預算體制下，經費來源完全由政府編列預算，學校依計畫申請經費，執行預算。在各種政府法令限制下，歲入收取、經費存儲、使用較缺乏彈性，今大學自主已蔚為風潮，藉由校務基金制度之實施，賦予學校更大自主空間，為必然之趨勢。</w:t>
      </w:r>
    </w:p>
    <w:p w:rsidR="008A319C" w:rsidRDefault="008A319C">
      <w:pPr>
        <w:widowControl/>
        <w:numPr>
          <w:ilvl w:val="0"/>
          <w:numId w:val="1"/>
        </w:numPr>
        <w:tabs>
          <w:tab w:val="clear" w:pos="360"/>
          <w:tab w:val="num" w:pos="540"/>
        </w:tabs>
        <w:ind w:left="539" w:hanging="539"/>
        <w:jc w:val="both"/>
        <w:rPr>
          <w:rFonts w:ascii="標楷體" w:eastAsia="標楷體" w:hAnsi="標楷體" w:cs="新細明體" w:hint="eastAsia"/>
          <w:kern w:val="0"/>
        </w:rPr>
      </w:pPr>
      <w:r>
        <w:rPr>
          <w:rFonts w:ascii="標楷體" w:eastAsia="標楷體" w:hAnsi="標楷體" w:cs="新細明體" w:hint="eastAsia"/>
          <w:bCs/>
          <w:kern w:val="0"/>
        </w:rPr>
        <w:t>增加預算編製及執行彈性：公務預算體制，預算</w:t>
      </w:r>
      <w:proofErr w:type="gramStart"/>
      <w:r>
        <w:rPr>
          <w:rFonts w:ascii="標楷體" w:eastAsia="標楷體" w:hAnsi="標楷體" w:cs="新細明體" w:hint="eastAsia"/>
          <w:bCs/>
          <w:kern w:val="0"/>
        </w:rPr>
        <w:t>超收須全數</w:t>
      </w:r>
      <w:proofErr w:type="gramEnd"/>
      <w:r>
        <w:rPr>
          <w:rFonts w:ascii="標楷體" w:eastAsia="標楷體" w:hAnsi="標楷體" w:cs="新細明體" w:hint="eastAsia"/>
          <w:bCs/>
          <w:kern w:val="0"/>
        </w:rPr>
        <w:t>繳庫，決算剩餘無法保存，預算執行缺乏彈性，致國立大學校院整體及計畫性受到限制。今實施校務基金制度，即為改善上述缺失，促使學校開源節流，評估資源使用效能，完整規劃未來發展方向。</w:t>
      </w:r>
    </w:p>
    <w:p w:rsidR="008A319C" w:rsidRDefault="008A319C">
      <w:pPr>
        <w:widowControl/>
        <w:numPr>
          <w:ilvl w:val="0"/>
          <w:numId w:val="1"/>
        </w:numPr>
        <w:tabs>
          <w:tab w:val="clear" w:pos="360"/>
          <w:tab w:val="num" w:pos="540"/>
        </w:tabs>
        <w:ind w:left="539" w:hanging="539"/>
        <w:jc w:val="both"/>
        <w:rPr>
          <w:rFonts w:ascii="標楷體" w:eastAsia="標楷體" w:hAnsi="標楷體" w:cs="新細明體" w:hint="eastAsia"/>
          <w:kern w:val="0"/>
        </w:rPr>
      </w:pPr>
      <w:r>
        <w:rPr>
          <w:rFonts w:ascii="標楷體" w:eastAsia="標楷體" w:hAnsi="標楷體" w:cs="新細明體" w:hint="eastAsia"/>
          <w:bCs/>
          <w:kern w:val="0"/>
        </w:rPr>
        <w:t>紓解政府財政壓力：近來國家財政吃緊，公共建設、社會福利等支出大幅增加，而稅收並未相對成</w:t>
      </w:r>
      <w:r>
        <w:rPr>
          <w:rFonts w:ascii="標楷體" w:eastAsia="標楷體" w:hAnsi="標楷體" w:cs="新細明體"/>
          <w:bCs/>
          <w:kern w:val="0"/>
        </w:rPr>
        <w:t xml:space="preserve"> </w:t>
      </w:r>
      <w:r>
        <w:rPr>
          <w:rFonts w:ascii="標楷體" w:eastAsia="標楷體" w:hAnsi="標楷體" w:cs="新細明體" w:hint="eastAsia"/>
          <w:bCs/>
          <w:kern w:val="0"/>
        </w:rPr>
        <w:t>長，政府預算赤字攀升，財政日益困難。校務基金存儲，增加孳息收入，提升基金作業效率，吸收社會資源投入教育事業等等，均有助於學校可運用資金增加，政府財政亦可獲得紓解。</w:t>
      </w:r>
    </w:p>
    <w:p w:rsidR="008A319C" w:rsidRDefault="008A319C">
      <w:pPr>
        <w:widowControl/>
        <w:numPr>
          <w:ilvl w:val="0"/>
          <w:numId w:val="1"/>
        </w:numPr>
        <w:tabs>
          <w:tab w:val="clear" w:pos="360"/>
          <w:tab w:val="num" w:pos="540"/>
        </w:tabs>
        <w:ind w:left="539" w:hanging="539"/>
        <w:jc w:val="both"/>
        <w:rPr>
          <w:rFonts w:ascii="標楷體" w:eastAsia="標楷體" w:hAnsi="標楷體" w:cs="新細明體"/>
          <w:kern w:val="0"/>
        </w:rPr>
      </w:pPr>
      <w:r>
        <w:rPr>
          <w:rFonts w:ascii="標楷體" w:eastAsia="標楷體" w:hAnsi="標楷體" w:cs="新細明體" w:hint="eastAsia"/>
          <w:bCs/>
          <w:kern w:val="0"/>
        </w:rPr>
        <w:t>教育資源分配合理化：在教育資源有限及近年來民間對中、小學教育、私立學校及技職教育等應加強補助之要求下，如何使教育資源分配更趨</w:t>
      </w:r>
      <w:proofErr w:type="gramStart"/>
      <w:r>
        <w:rPr>
          <w:rFonts w:ascii="標楷體" w:eastAsia="標楷體" w:hAnsi="標楷體" w:cs="新細明體" w:hint="eastAsia"/>
          <w:bCs/>
          <w:kern w:val="0"/>
        </w:rPr>
        <w:t>合理化遂為重要</w:t>
      </w:r>
      <w:proofErr w:type="gramEnd"/>
      <w:r>
        <w:rPr>
          <w:rFonts w:ascii="標楷體" w:eastAsia="標楷體" w:hAnsi="標楷體" w:cs="新細明體" w:hint="eastAsia"/>
          <w:bCs/>
          <w:kern w:val="0"/>
        </w:rPr>
        <w:t>課題。民國八十六年憲法修正，取消教科文百分之十五預算保障，更加突顯有限的教育資源配置問題。國立大專院校實施校務基金制度，有助於學校整體經營，鼓勵開闢財源，建立捐助興學正常管道，健全財務規劃，積極推動建教合作及推廣教育，加強社會服務</w:t>
      </w:r>
      <w:r>
        <w:rPr>
          <w:rFonts w:ascii="標楷體" w:eastAsia="標楷體" w:hAnsi="標楷體"/>
          <w:bCs/>
          <w:kern w:val="0"/>
        </w:rPr>
        <w:t>…</w:t>
      </w:r>
      <w:proofErr w:type="gramStart"/>
      <w:r>
        <w:rPr>
          <w:rFonts w:ascii="標楷體" w:eastAsia="標楷體" w:hAnsi="標楷體"/>
          <w:bCs/>
          <w:kern w:val="0"/>
        </w:rPr>
        <w:t>…</w:t>
      </w:r>
      <w:proofErr w:type="gramEnd"/>
      <w:r>
        <w:rPr>
          <w:rFonts w:ascii="標楷體" w:eastAsia="標楷體" w:hAnsi="標楷體" w:cs="新細明體" w:hint="eastAsia"/>
          <w:bCs/>
          <w:kern w:val="0"/>
        </w:rPr>
        <w:t>等優點，政府於培植其提高財務自籌能力，善盡社會責任之餘，方能有效合理分配教育資源，健全國家教育發展。</w:t>
      </w:r>
    </w:p>
    <w:p w:rsidR="008A319C" w:rsidRDefault="008A319C">
      <w:pPr>
        <w:widowControl/>
        <w:jc w:val="both"/>
        <w:rPr>
          <w:rFonts w:ascii="標楷體" w:eastAsia="標楷體" w:hAnsi="標楷體" w:cs="新細明體" w:hint="eastAsia"/>
          <w:bCs/>
          <w:kern w:val="0"/>
        </w:rPr>
      </w:pPr>
    </w:p>
    <w:p w:rsidR="008A319C" w:rsidRDefault="008A319C">
      <w:pPr>
        <w:widowControl/>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○三問：校務基金預算體系運作上之特性為何？</w:t>
      </w:r>
    </w:p>
    <w:p w:rsidR="008A319C" w:rsidRDefault="008A319C">
      <w:pPr>
        <w:widowControl/>
        <w:tabs>
          <w:tab w:val="left" w:pos="780"/>
        </w:tabs>
        <w:ind w:left="567" w:hanging="567"/>
        <w:jc w:val="both"/>
        <w:rPr>
          <w:rFonts w:ascii="標楷體" w:eastAsia="標楷體" w:hAnsi="標楷體" w:cs="新細明體"/>
          <w:kern w:val="0"/>
        </w:rPr>
      </w:pPr>
      <w:r>
        <w:rPr>
          <w:rFonts w:ascii="標楷體" w:eastAsia="標楷體" w:hAnsi="標楷體" w:cs="新細明體" w:hint="eastAsia"/>
          <w:bCs/>
          <w:kern w:val="0"/>
        </w:rPr>
        <w:t>答： 國立大學校院校務基金為預算法第四條所定之特種基金，編製附屬單位預算，其特性為：</w:t>
      </w:r>
    </w:p>
    <w:p w:rsidR="008A319C" w:rsidRDefault="008A319C">
      <w:pPr>
        <w:widowControl/>
        <w:numPr>
          <w:ilvl w:val="0"/>
          <w:numId w:val="2"/>
        </w:numPr>
        <w:tabs>
          <w:tab w:val="left" w:pos="780"/>
        </w:tabs>
        <w:jc w:val="both"/>
        <w:rPr>
          <w:rFonts w:ascii="標楷體" w:eastAsia="標楷體" w:hAnsi="標楷體" w:cs="新細明體" w:hint="eastAsia"/>
          <w:bCs/>
          <w:kern w:val="0"/>
        </w:rPr>
      </w:pPr>
      <w:r>
        <w:rPr>
          <w:rFonts w:ascii="標楷體" w:eastAsia="標楷體" w:hAnsi="標楷體" w:cs="新細明體" w:hint="eastAsia"/>
          <w:bCs/>
          <w:kern w:val="0"/>
        </w:rPr>
        <w:t>除國庫</w:t>
      </w:r>
      <w:proofErr w:type="gramStart"/>
      <w:r>
        <w:rPr>
          <w:rFonts w:ascii="標楷體" w:eastAsia="標楷體" w:hAnsi="標楷體" w:cs="新細明體" w:hint="eastAsia"/>
          <w:bCs/>
          <w:kern w:val="0"/>
        </w:rPr>
        <w:t>撥補額及</w:t>
      </w:r>
      <w:proofErr w:type="gramEnd"/>
      <w:r>
        <w:rPr>
          <w:rFonts w:ascii="標楷體" w:eastAsia="標楷體" w:hAnsi="標楷體" w:cs="新細明體" w:hint="eastAsia"/>
          <w:bCs/>
          <w:kern w:val="0"/>
        </w:rPr>
        <w:t>政府輔助收入外，法定預算僅代表一項執行計畫之承諾，並不代表一項政府提供之可用資源。</w:t>
      </w:r>
    </w:p>
    <w:p w:rsidR="008A319C" w:rsidRDefault="008A319C">
      <w:pPr>
        <w:widowControl/>
        <w:numPr>
          <w:ilvl w:val="0"/>
          <w:numId w:val="2"/>
        </w:numPr>
        <w:tabs>
          <w:tab w:val="left" w:pos="780"/>
        </w:tabs>
        <w:jc w:val="both"/>
        <w:rPr>
          <w:rFonts w:ascii="標楷體" w:eastAsia="標楷體" w:hAnsi="標楷體" w:cs="新細明體" w:hint="eastAsia"/>
          <w:kern w:val="0"/>
        </w:rPr>
      </w:pPr>
      <w:r>
        <w:rPr>
          <w:rFonts w:ascii="標楷體" w:eastAsia="標楷體" w:hAnsi="標楷體" w:cs="新細明體" w:hint="eastAsia"/>
          <w:bCs/>
          <w:kern w:val="0"/>
        </w:rPr>
        <w:t>依受益付費原則，除特殊項目外，成本與費用可依預算法第八十七條、第八十九條及中央政府附屬單位預算執行要點之規定，不受法定預算額度限制，按作業</w:t>
      </w:r>
      <w:proofErr w:type="gramStart"/>
      <w:r>
        <w:rPr>
          <w:rFonts w:ascii="標楷體" w:eastAsia="標楷體" w:hAnsi="標楷體" w:cs="新細明體" w:hint="eastAsia"/>
          <w:bCs/>
          <w:kern w:val="0"/>
        </w:rPr>
        <w:t>量伸算</w:t>
      </w:r>
      <w:proofErr w:type="gramEnd"/>
      <w:r>
        <w:rPr>
          <w:rFonts w:ascii="標楷體" w:eastAsia="標楷體" w:hAnsi="標楷體" w:cs="新細明體" w:hint="eastAsia"/>
          <w:bCs/>
          <w:kern w:val="0"/>
        </w:rPr>
        <w:t>，並列入年度決算辦理。</w:t>
      </w:r>
    </w:p>
    <w:p w:rsidR="008A319C" w:rsidRDefault="008A319C">
      <w:pPr>
        <w:widowControl/>
        <w:numPr>
          <w:ilvl w:val="0"/>
          <w:numId w:val="2"/>
        </w:numPr>
        <w:tabs>
          <w:tab w:val="left" w:pos="780"/>
        </w:tabs>
        <w:jc w:val="both"/>
        <w:rPr>
          <w:rFonts w:ascii="標楷體" w:eastAsia="標楷體" w:hAnsi="標楷體" w:cs="新細明體" w:hint="eastAsia"/>
          <w:kern w:val="0"/>
        </w:rPr>
      </w:pPr>
      <w:r>
        <w:rPr>
          <w:rFonts w:ascii="標楷體" w:eastAsia="標楷體" w:hAnsi="標楷體" w:cs="新細明體" w:hint="eastAsia"/>
          <w:bCs/>
          <w:kern w:val="0"/>
        </w:rPr>
        <w:t>年度賸餘，按「中央政府非營業基金</w:t>
      </w:r>
      <w:proofErr w:type="gramStart"/>
      <w:r>
        <w:rPr>
          <w:rFonts w:ascii="標楷體" w:eastAsia="標楷體" w:hAnsi="標楷體" w:cs="新細明體" w:hint="eastAsia"/>
          <w:bCs/>
          <w:kern w:val="0"/>
        </w:rPr>
        <w:t>賸餘解庫及</w:t>
      </w:r>
      <w:proofErr w:type="gramEnd"/>
      <w:r>
        <w:rPr>
          <w:rFonts w:ascii="標楷體" w:eastAsia="標楷體" w:hAnsi="標楷體" w:cs="新細明體" w:hint="eastAsia"/>
          <w:bCs/>
          <w:kern w:val="0"/>
        </w:rPr>
        <w:t>短</w:t>
      </w:r>
      <w:proofErr w:type="gramStart"/>
      <w:r>
        <w:rPr>
          <w:rFonts w:ascii="標楷體" w:eastAsia="標楷體" w:hAnsi="標楷體" w:cs="新細明體" w:hint="eastAsia"/>
          <w:bCs/>
          <w:kern w:val="0"/>
        </w:rPr>
        <w:t>絀</w:t>
      </w:r>
      <w:proofErr w:type="gramEnd"/>
      <w:r>
        <w:rPr>
          <w:rFonts w:ascii="標楷體" w:eastAsia="標楷體" w:hAnsi="標楷體" w:cs="新細明體" w:hint="eastAsia"/>
          <w:bCs/>
          <w:kern w:val="0"/>
        </w:rPr>
        <w:t>填補注意事項」分配後，留供基金循環運用。</w:t>
      </w:r>
    </w:p>
    <w:p w:rsidR="008A319C" w:rsidRDefault="008A319C">
      <w:pPr>
        <w:widowControl/>
        <w:numPr>
          <w:ilvl w:val="0"/>
          <w:numId w:val="2"/>
        </w:numPr>
        <w:tabs>
          <w:tab w:val="left" w:pos="780"/>
        </w:tabs>
        <w:jc w:val="both"/>
        <w:rPr>
          <w:rFonts w:ascii="標楷體" w:eastAsia="標楷體" w:hAnsi="標楷體" w:cs="新細明體" w:hint="eastAsia"/>
          <w:kern w:val="0"/>
        </w:rPr>
      </w:pPr>
      <w:r>
        <w:rPr>
          <w:rFonts w:ascii="標楷體" w:eastAsia="標楷體" w:hAnsi="標楷體" w:cs="新細明體" w:hint="eastAsia"/>
          <w:bCs/>
          <w:kern w:val="0"/>
        </w:rPr>
        <w:t>僅將國庫</w:t>
      </w:r>
      <w:proofErr w:type="gramStart"/>
      <w:r>
        <w:rPr>
          <w:rFonts w:ascii="標楷體" w:eastAsia="標楷體" w:hAnsi="標楷體" w:cs="新細明體" w:hint="eastAsia"/>
          <w:bCs/>
          <w:kern w:val="0"/>
        </w:rPr>
        <w:t>撥補額及</w:t>
      </w:r>
      <w:proofErr w:type="gramEnd"/>
      <w:r>
        <w:rPr>
          <w:rFonts w:ascii="標楷體" w:eastAsia="標楷體" w:hAnsi="標楷體" w:cs="新細明體" w:hint="eastAsia"/>
          <w:bCs/>
          <w:kern w:val="0"/>
        </w:rPr>
        <w:t xml:space="preserve">政府輔助收入編入中央政府總預算。 </w:t>
      </w:r>
    </w:p>
    <w:p w:rsidR="008A319C" w:rsidRDefault="008A319C">
      <w:pPr>
        <w:widowControl/>
        <w:tabs>
          <w:tab w:val="left" w:pos="780"/>
        </w:tabs>
        <w:jc w:val="both"/>
        <w:rPr>
          <w:rFonts w:ascii="標楷體" w:eastAsia="標楷體" w:hAnsi="標楷體" w:cs="新細明體" w:hint="eastAsia"/>
          <w:kern w:val="0"/>
        </w:rPr>
      </w:pPr>
    </w:p>
    <w:p w:rsidR="008A319C" w:rsidRDefault="008A319C">
      <w:pPr>
        <w:widowControl/>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○四問：校務基金預算與公務預算有何異同？</w:t>
      </w:r>
    </w:p>
    <w:p w:rsidR="008A319C" w:rsidRDefault="008A319C">
      <w:pPr>
        <w:widowControl/>
        <w:jc w:val="both"/>
        <w:rPr>
          <w:rFonts w:ascii="標楷體" w:eastAsia="標楷體" w:hAnsi="標楷體" w:cs="新細明體" w:hint="eastAsia"/>
          <w:kern w:val="0"/>
        </w:rPr>
      </w:pPr>
      <w:r>
        <w:rPr>
          <w:rFonts w:ascii="標楷體" w:eastAsia="標楷體" w:hAnsi="標楷體" w:cs="新細明體" w:hint="eastAsia"/>
          <w:kern w:val="0"/>
        </w:rPr>
        <w:t>答：</w:t>
      </w:r>
    </w:p>
    <w:tbl>
      <w:tblPr>
        <w:tblW w:w="1014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3360"/>
        <w:gridCol w:w="3360"/>
      </w:tblGrid>
      <w:tr w:rsidR="008A319C">
        <w:trPr>
          <w:jc w:val="center"/>
        </w:trPr>
        <w:tc>
          <w:tcPr>
            <w:tcW w:w="3422" w:type="dxa"/>
          </w:tcPr>
          <w:p w:rsidR="008A319C" w:rsidRDefault="008A319C">
            <w:pPr>
              <w:snapToGrid w:val="0"/>
              <w:jc w:val="center"/>
              <w:rPr>
                <w:rFonts w:ascii="標楷體" w:eastAsia="標楷體" w:hAnsi="標楷體"/>
                <w:b/>
                <w:color w:val="000000"/>
              </w:rPr>
            </w:pPr>
            <w:r>
              <w:rPr>
                <w:rFonts w:ascii="標楷體" w:eastAsia="標楷體" w:hAnsi="標楷體" w:hint="eastAsia"/>
                <w:b/>
                <w:color w:val="000000"/>
              </w:rPr>
              <w:lastRenderedPageBreak/>
              <w:t>性</w:t>
            </w:r>
            <w:r>
              <w:rPr>
                <w:rFonts w:ascii="標楷體" w:eastAsia="標楷體" w:hAnsi="標楷體"/>
                <w:b/>
                <w:color w:val="000000"/>
              </w:rPr>
              <w:t xml:space="preserve">  </w:t>
            </w:r>
            <w:r>
              <w:rPr>
                <w:rFonts w:ascii="標楷體" w:eastAsia="標楷體" w:hAnsi="標楷體" w:hint="eastAsia"/>
                <w:b/>
                <w:color w:val="000000"/>
              </w:rPr>
              <w:t>質</w:t>
            </w:r>
          </w:p>
        </w:tc>
        <w:tc>
          <w:tcPr>
            <w:tcW w:w="3360" w:type="dxa"/>
          </w:tcPr>
          <w:p w:rsidR="008A319C" w:rsidRDefault="008A319C">
            <w:pPr>
              <w:tabs>
                <w:tab w:val="left" w:pos="1440"/>
              </w:tabs>
              <w:snapToGrid w:val="0"/>
              <w:jc w:val="center"/>
              <w:rPr>
                <w:rFonts w:ascii="標楷體" w:eastAsia="標楷體" w:hAnsi="標楷體" w:hint="eastAsia"/>
                <w:color w:val="000000"/>
              </w:rPr>
            </w:pPr>
            <w:r>
              <w:rPr>
                <w:rFonts w:ascii="標楷體" w:eastAsia="標楷體" w:hAnsi="標楷體" w:hint="eastAsia"/>
                <w:b/>
                <w:color w:val="000000"/>
              </w:rPr>
              <w:t>公務預算</w:t>
            </w:r>
          </w:p>
        </w:tc>
        <w:tc>
          <w:tcPr>
            <w:tcW w:w="3360" w:type="dxa"/>
          </w:tcPr>
          <w:p w:rsidR="008A319C" w:rsidRDefault="008A319C">
            <w:pPr>
              <w:tabs>
                <w:tab w:val="left" w:pos="1440"/>
              </w:tabs>
              <w:snapToGrid w:val="0"/>
              <w:jc w:val="center"/>
              <w:rPr>
                <w:rFonts w:ascii="標楷體" w:eastAsia="標楷體" w:hAnsi="標楷體" w:hint="eastAsia"/>
                <w:color w:val="000000"/>
              </w:rPr>
            </w:pPr>
            <w:r>
              <w:rPr>
                <w:rFonts w:ascii="標楷體" w:eastAsia="標楷體" w:hAnsi="標楷體" w:hint="eastAsia"/>
                <w:b/>
                <w:color w:val="000000"/>
              </w:rPr>
              <w:t>校務基金</w:t>
            </w:r>
          </w:p>
        </w:tc>
      </w:tr>
      <w:tr w:rsidR="008A319C">
        <w:trPr>
          <w:jc w:val="center"/>
        </w:trPr>
        <w:tc>
          <w:tcPr>
            <w:tcW w:w="3422" w:type="dxa"/>
            <w:vAlign w:val="center"/>
          </w:tcPr>
          <w:p w:rsidR="008A319C" w:rsidRDefault="008A319C">
            <w:pPr>
              <w:pStyle w:val="a6"/>
              <w:numPr>
                <w:ilvl w:val="0"/>
                <w:numId w:val="15"/>
              </w:numPr>
              <w:jc w:val="both"/>
              <w:rPr>
                <w:rFonts w:ascii="標楷體" w:eastAsia="標楷體" w:hAnsi="標楷體"/>
                <w:b/>
                <w:color w:val="000000"/>
                <w:sz w:val="24"/>
              </w:rPr>
            </w:pPr>
            <w:r>
              <w:rPr>
                <w:rFonts w:ascii="標楷體" w:eastAsia="標楷體" w:hAnsi="標楷體" w:hint="eastAsia"/>
                <w:color w:val="000000"/>
                <w:sz w:val="24"/>
              </w:rPr>
              <w:t>收支</w:t>
            </w:r>
            <w:proofErr w:type="gramStart"/>
            <w:r>
              <w:rPr>
                <w:rFonts w:ascii="標楷體" w:eastAsia="標楷體" w:hAnsi="標楷體" w:hint="eastAsia"/>
                <w:color w:val="000000"/>
                <w:sz w:val="24"/>
              </w:rPr>
              <w:t>併</w:t>
            </w:r>
            <w:proofErr w:type="gramEnd"/>
            <w:r>
              <w:rPr>
                <w:rFonts w:ascii="標楷體" w:eastAsia="標楷體" w:hAnsi="標楷體" w:hint="eastAsia"/>
                <w:color w:val="000000"/>
                <w:sz w:val="24"/>
              </w:rPr>
              <w:t>列經費超收是否得超支</w:t>
            </w:r>
          </w:p>
        </w:tc>
        <w:tc>
          <w:tcPr>
            <w:tcW w:w="3360" w:type="dxa"/>
            <w:vAlign w:val="center"/>
          </w:tcPr>
          <w:p w:rsidR="008A319C" w:rsidRDefault="008A319C">
            <w:pPr>
              <w:snapToGrid w:val="0"/>
              <w:ind w:right="-57"/>
              <w:jc w:val="both"/>
              <w:rPr>
                <w:rFonts w:ascii="標楷體" w:eastAsia="標楷體" w:hAnsi="標楷體"/>
                <w:color w:val="000000"/>
              </w:rPr>
            </w:pPr>
            <w:r>
              <w:rPr>
                <w:rFonts w:ascii="標楷體" w:eastAsia="標楷體" w:hAnsi="標楷體" w:hint="eastAsia"/>
                <w:color w:val="000000"/>
              </w:rPr>
              <w:t>超收繳庫，除動支第二預備金外，不得超支。</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超收得超支。</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b/>
                <w:color w:val="000000"/>
              </w:rPr>
            </w:pPr>
            <w:r>
              <w:rPr>
                <w:rFonts w:ascii="標楷體" w:eastAsia="標楷體" w:hAnsi="標楷體" w:hint="eastAsia"/>
                <w:color w:val="000000"/>
              </w:rPr>
              <w:t>收支</w:t>
            </w:r>
            <w:proofErr w:type="gramStart"/>
            <w:r>
              <w:rPr>
                <w:rFonts w:ascii="標楷體" w:eastAsia="標楷體" w:hAnsi="標楷體" w:hint="eastAsia"/>
                <w:color w:val="000000"/>
              </w:rPr>
              <w:t>併</w:t>
            </w:r>
            <w:proofErr w:type="gramEnd"/>
            <w:r>
              <w:rPr>
                <w:rFonts w:ascii="標楷體" w:eastAsia="標楷體" w:hAnsi="標楷體" w:hint="eastAsia"/>
                <w:color w:val="000000"/>
              </w:rPr>
              <w:t>列經費是否受限於預算額度</w:t>
            </w:r>
          </w:p>
        </w:tc>
        <w:tc>
          <w:tcPr>
            <w:tcW w:w="3360" w:type="dxa"/>
            <w:vAlign w:val="center"/>
          </w:tcPr>
          <w:p w:rsidR="008A319C" w:rsidRDefault="008A319C">
            <w:pPr>
              <w:snapToGrid w:val="0"/>
              <w:jc w:val="both"/>
              <w:rPr>
                <w:rFonts w:ascii="標楷體" w:eastAsia="標楷體" w:hAnsi="標楷體"/>
                <w:color w:val="000000"/>
              </w:rPr>
            </w:pPr>
            <w:r>
              <w:rPr>
                <w:rFonts w:ascii="標楷體" w:eastAsia="標楷體" w:hAnsi="標楷體" w:cs="標楷體" w:hint="eastAsia"/>
                <w:color w:val="000000"/>
                <w:kern w:val="0"/>
              </w:rPr>
              <w:t>受限制。</w:t>
            </w:r>
          </w:p>
        </w:tc>
        <w:tc>
          <w:tcPr>
            <w:tcW w:w="3360" w:type="dxa"/>
            <w:vAlign w:val="center"/>
          </w:tcPr>
          <w:p w:rsidR="008A319C" w:rsidRDefault="008A319C">
            <w:pPr>
              <w:tabs>
                <w:tab w:val="left" w:pos="1510"/>
                <w:tab w:val="left" w:pos="2050"/>
              </w:tabs>
              <w:snapToGrid w:val="0"/>
              <w:ind w:rightChars="-45" w:right="-108"/>
              <w:jc w:val="both"/>
              <w:rPr>
                <w:rFonts w:ascii="標楷體" w:eastAsia="標楷體" w:hAnsi="標楷體" w:hint="eastAsia"/>
                <w:color w:val="000000"/>
              </w:rPr>
            </w:pPr>
            <w:r>
              <w:rPr>
                <w:rFonts w:ascii="標楷體" w:eastAsia="標楷體" w:hAnsi="標楷體" w:cs="標楷體" w:hint="eastAsia"/>
                <w:color w:val="000000"/>
                <w:kern w:val="0"/>
              </w:rPr>
              <w:t>照預估收支數編列，不受限制。</w:t>
            </w:r>
          </w:p>
        </w:tc>
      </w:tr>
      <w:tr w:rsidR="008A319C">
        <w:trPr>
          <w:jc w:val="center"/>
        </w:trPr>
        <w:tc>
          <w:tcPr>
            <w:tcW w:w="3422" w:type="dxa"/>
            <w:vAlign w:val="center"/>
          </w:tcPr>
          <w:p w:rsidR="008A319C" w:rsidRDefault="008A319C">
            <w:pPr>
              <w:numPr>
                <w:ilvl w:val="0"/>
                <w:numId w:val="15"/>
              </w:num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業務（經常）支出是否得超支</w:t>
            </w:r>
          </w:p>
        </w:tc>
        <w:tc>
          <w:tcPr>
            <w:tcW w:w="3360" w:type="dxa"/>
            <w:vAlign w:val="center"/>
          </w:tcPr>
          <w:p w:rsidR="008A319C" w:rsidRDefault="008A319C">
            <w:pPr>
              <w:autoSpaceDE w:val="0"/>
              <w:autoSpaceDN w:val="0"/>
              <w:adjustRightInd w:val="0"/>
              <w:snapToGrid w:val="0"/>
              <w:jc w:val="both"/>
              <w:rPr>
                <w:rFonts w:ascii="標楷體" w:eastAsia="標楷體" w:hAnsi="標楷體" w:hint="eastAsia"/>
                <w:color w:val="000000"/>
              </w:rPr>
            </w:pPr>
            <w:r>
              <w:rPr>
                <w:rFonts w:ascii="標楷體" w:eastAsia="標楷體" w:hAnsi="標楷體" w:cs="標楷體" w:hint="eastAsia"/>
                <w:color w:val="000000"/>
                <w:kern w:val="0"/>
              </w:rPr>
              <w:t>除動支第一、二預備金或流用外不能超支。</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cs="標楷體" w:hint="eastAsia"/>
                <w:color w:val="000000"/>
                <w:kern w:val="0"/>
              </w:rPr>
              <w:t>除公共關係費、國外旅費、捐助或補助等受法定預算限制外，餘有需要，則可超支。</w:t>
            </w:r>
          </w:p>
        </w:tc>
      </w:tr>
      <w:tr w:rsidR="008A319C">
        <w:trPr>
          <w:jc w:val="center"/>
        </w:trPr>
        <w:tc>
          <w:tcPr>
            <w:tcW w:w="3422" w:type="dxa"/>
            <w:vAlign w:val="center"/>
          </w:tcPr>
          <w:p w:rsidR="008A319C" w:rsidRDefault="008A319C">
            <w:pPr>
              <w:numPr>
                <w:ilvl w:val="0"/>
                <w:numId w:val="15"/>
              </w:numPr>
              <w:snapToGrid w:val="0"/>
              <w:ind w:right="-57"/>
              <w:jc w:val="both"/>
              <w:rPr>
                <w:rFonts w:ascii="標楷體" w:eastAsia="標楷體" w:hAnsi="標楷體"/>
                <w:color w:val="000000"/>
              </w:rPr>
            </w:pPr>
            <w:r>
              <w:rPr>
                <w:rFonts w:ascii="標楷體" w:eastAsia="標楷體" w:hAnsi="標楷體" w:hint="eastAsia"/>
                <w:color w:val="000000"/>
              </w:rPr>
              <w:t>業務（經常）支出用途別間之流用</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除人事費不得流入外，有20</w:t>
            </w:r>
            <w:proofErr w:type="gramStart"/>
            <w:r>
              <w:rPr>
                <w:rFonts w:ascii="標楷體" w:eastAsia="標楷體" w:hAnsi="標楷體" w:hint="eastAsia"/>
                <w:color w:val="000000"/>
              </w:rPr>
              <w:t>﹪</w:t>
            </w:r>
            <w:proofErr w:type="gramEnd"/>
            <w:r>
              <w:rPr>
                <w:rFonts w:ascii="標楷體" w:eastAsia="標楷體" w:hAnsi="標楷體" w:hint="eastAsia"/>
                <w:color w:val="000000"/>
              </w:rPr>
              <w:t>-30</w:t>
            </w:r>
            <w:proofErr w:type="gramStart"/>
            <w:r>
              <w:rPr>
                <w:rFonts w:ascii="標楷體" w:eastAsia="標楷體" w:hAnsi="標楷體" w:hint="eastAsia"/>
                <w:color w:val="000000"/>
              </w:rPr>
              <w:t>﹪</w:t>
            </w:r>
            <w:proofErr w:type="gramEnd"/>
            <w:r>
              <w:rPr>
                <w:rFonts w:ascii="標楷體" w:eastAsia="標楷體" w:hAnsi="標楷體" w:hint="eastAsia"/>
                <w:color w:val="000000"/>
              </w:rPr>
              <w:t>流用之限制。</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用途別間（包括人事費）</w:t>
            </w:r>
            <w:proofErr w:type="gramStart"/>
            <w:r>
              <w:rPr>
                <w:rFonts w:ascii="標楷體" w:eastAsia="標楷體" w:hAnsi="標楷體" w:hint="eastAsia"/>
                <w:color w:val="000000"/>
              </w:rPr>
              <w:t>無流用</w:t>
            </w:r>
            <w:proofErr w:type="gramEnd"/>
            <w:r>
              <w:rPr>
                <w:rFonts w:ascii="標楷體" w:eastAsia="標楷體" w:hAnsi="標楷體" w:hint="eastAsia"/>
                <w:color w:val="000000"/>
              </w:rPr>
              <w:t>之規定。</w:t>
            </w:r>
          </w:p>
        </w:tc>
      </w:tr>
      <w:tr w:rsidR="008A319C">
        <w:trPr>
          <w:cantSplit/>
          <w:trHeight w:val="964"/>
          <w:jc w:val="center"/>
        </w:trPr>
        <w:tc>
          <w:tcPr>
            <w:tcW w:w="3422" w:type="dxa"/>
            <w:vAlign w:val="center"/>
          </w:tcPr>
          <w:p w:rsidR="008A319C" w:rsidRDefault="008A319C">
            <w:pPr>
              <w:numPr>
                <w:ilvl w:val="0"/>
                <w:numId w:val="15"/>
              </w:numPr>
              <w:snapToGrid w:val="0"/>
              <w:ind w:right="-57"/>
              <w:jc w:val="both"/>
              <w:rPr>
                <w:rFonts w:ascii="標楷體" w:eastAsia="標楷體" w:hAnsi="標楷體"/>
                <w:color w:val="000000"/>
              </w:rPr>
            </w:pPr>
            <w:r>
              <w:rPr>
                <w:rFonts w:ascii="標楷體" w:eastAsia="標楷體" w:hAnsi="標楷體" w:hint="eastAsia"/>
                <w:color w:val="000000"/>
              </w:rPr>
              <w:t>資本支出未列預算</w:t>
            </w:r>
          </w:p>
        </w:tc>
        <w:tc>
          <w:tcPr>
            <w:tcW w:w="3360" w:type="dxa"/>
            <w:vAlign w:val="center"/>
          </w:tcPr>
          <w:p w:rsidR="008A319C" w:rsidRDefault="008A319C">
            <w:pPr>
              <w:snapToGrid w:val="0"/>
              <w:ind w:right="-57"/>
              <w:jc w:val="both"/>
              <w:rPr>
                <w:rFonts w:ascii="標楷體" w:eastAsia="標楷體" w:hAnsi="標楷體"/>
                <w:color w:val="000000"/>
              </w:rPr>
            </w:pPr>
            <w:r>
              <w:rPr>
                <w:rFonts w:ascii="標楷體" w:eastAsia="標楷體" w:hAnsi="標楷體" w:hint="eastAsia"/>
                <w:color w:val="000000"/>
              </w:rPr>
              <w:t>除動支第二預備金外，不可以辦理。</w:t>
            </w:r>
          </w:p>
        </w:tc>
        <w:tc>
          <w:tcPr>
            <w:tcW w:w="3360" w:type="dxa"/>
            <w:vMerge w:val="restart"/>
            <w:vAlign w:val="center"/>
          </w:tcPr>
          <w:p w:rsidR="008A319C" w:rsidRDefault="008A319C">
            <w:pPr>
              <w:snapToGrid w:val="0"/>
              <w:ind w:left="278" w:hangingChars="116" w:hanging="278"/>
              <w:jc w:val="both"/>
              <w:rPr>
                <w:rFonts w:ascii="標楷體" w:eastAsia="標楷體" w:hAnsi="標楷體" w:hint="eastAsia"/>
                <w:color w:val="000000"/>
              </w:rPr>
            </w:pPr>
            <w:r>
              <w:rPr>
                <w:rFonts w:ascii="標楷體" w:eastAsia="標楷體" w:hAnsi="標楷體" w:hint="eastAsia"/>
                <w:color w:val="000000"/>
              </w:rPr>
              <w:t>1. 得在「當年度非計畫型資本支出預算總額內」調整支應者，除新建或購置各項辦公房屋宿舍及購置公務車，暨涉及國庫負擔經費者，應報經教育部核轉行政院同意辦理外，由各校務基金學校自行依有關規定核辦。</w:t>
            </w:r>
          </w:p>
          <w:p w:rsidR="008A319C" w:rsidRDefault="008A319C">
            <w:pPr>
              <w:snapToGrid w:val="0"/>
              <w:ind w:left="278" w:hangingChars="116" w:hanging="278"/>
              <w:jc w:val="both"/>
              <w:rPr>
                <w:rFonts w:ascii="標楷體" w:eastAsia="標楷體" w:hAnsi="標楷體" w:hint="eastAsia"/>
                <w:color w:val="000000"/>
              </w:rPr>
            </w:pPr>
            <w:r>
              <w:rPr>
                <w:rFonts w:ascii="標楷體" w:eastAsia="標楷體" w:hAnsi="標楷體" w:hint="eastAsia"/>
                <w:color w:val="000000"/>
              </w:rPr>
              <w:t>2. 經檢討無法在「當年度非計畫型資本支出預算總額內」調整容納者，得專案報經教育部核定或核轉行政院同意後辦理，</w:t>
            </w:r>
            <w:proofErr w:type="gramStart"/>
            <w:r>
              <w:rPr>
                <w:rFonts w:ascii="標楷體" w:eastAsia="標楷體" w:hAnsi="標楷體" w:hint="eastAsia"/>
                <w:color w:val="000000"/>
              </w:rPr>
              <w:t>並均應補</w:t>
            </w:r>
            <w:proofErr w:type="gramEnd"/>
            <w:r>
              <w:rPr>
                <w:rFonts w:ascii="標楷體" w:eastAsia="標楷體" w:hAnsi="標楷體" w:hint="eastAsia"/>
                <w:color w:val="000000"/>
              </w:rPr>
              <w:t>辦預算。</w:t>
            </w:r>
          </w:p>
        </w:tc>
      </w:tr>
      <w:tr w:rsidR="008A319C">
        <w:trPr>
          <w:cantSplit/>
          <w:trHeight w:val="3569"/>
          <w:jc w:val="center"/>
        </w:trPr>
        <w:tc>
          <w:tcPr>
            <w:tcW w:w="3422" w:type="dxa"/>
            <w:vAlign w:val="center"/>
          </w:tcPr>
          <w:p w:rsidR="008A319C" w:rsidRDefault="008A319C">
            <w:pPr>
              <w:numPr>
                <w:ilvl w:val="0"/>
                <w:numId w:val="15"/>
              </w:numPr>
              <w:snapToGrid w:val="0"/>
              <w:ind w:right="-57"/>
              <w:jc w:val="both"/>
              <w:rPr>
                <w:rFonts w:ascii="標楷體" w:eastAsia="標楷體" w:hAnsi="標楷體" w:hint="eastAsia"/>
                <w:color w:val="000000"/>
              </w:rPr>
            </w:pPr>
            <w:r>
              <w:rPr>
                <w:rFonts w:ascii="標楷體" w:eastAsia="標楷體" w:hAnsi="標楷體" w:hint="eastAsia"/>
                <w:color w:val="000000"/>
              </w:rPr>
              <w:t>資本支出是否得超支</w:t>
            </w:r>
          </w:p>
        </w:tc>
        <w:tc>
          <w:tcPr>
            <w:tcW w:w="3360" w:type="dxa"/>
            <w:vAlign w:val="center"/>
          </w:tcPr>
          <w:p w:rsidR="008A319C" w:rsidRDefault="008A319C">
            <w:pPr>
              <w:snapToGrid w:val="0"/>
              <w:ind w:right="-57"/>
              <w:jc w:val="both"/>
              <w:rPr>
                <w:rFonts w:ascii="標楷體" w:eastAsia="標楷體" w:hAnsi="標楷體" w:hint="eastAsia"/>
                <w:color w:val="000000"/>
              </w:rPr>
            </w:pPr>
            <w:r>
              <w:rPr>
                <w:rFonts w:ascii="標楷體" w:eastAsia="標楷體" w:hAnsi="標楷體" w:hint="eastAsia"/>
                <w:color w:val="000000"/>
              </w:rPr>
              <w:t>除動支第一、二預備金，同一工作計畫經常門得流入資本門或同一工作計畫內之他分支計畫有賸餘時，可流入支應外，不能超支。</w:t>
            </w:r>
          </w:p>
        </w:tc>
        <w:tc>
          <w:tcPr>
            <w:tcW w:w="3360" w:type="dxa"/>
            <w:vMerge/>
            <w:vAlign w:val="center"/>
          </w:tcPr>
          <w:p w:rsidR="008A319C" w:rsidRDefault="008A319C">
            <w:pPr>
              <w:snapToGrid w:val="0"/>
              <w:ind w:right="-57"/>
              <w:jc w:val="both"/>
              <w:rPr>
                <w:rFonts w:ascii="標楷體" w:eastAsia="標楷體" w:hAnsi="標楷體"/>
                <w:color w:val="000000"/>
              </w:rPr>
            </w:pPr>
          </w:p>
        </w:tc>
      </w:tr>
      <w:tr w:rsidR="008A319C">
        <w:trPr>
          <w:jc w:val="center"/>
        </w:trPr>
        <w:tc>
          <w:tcPr>
            <w:tcW w:w="3422" w:type="dxa"/>
            <w:vAlign w:val="center"/>
          </w:tcPr>
          <w:p w:rsidR="008A319C" w:rsidRDefault="008A319C">
            <w:pPr>
              <w:numPr>
                <w:ilvl w:val="0"/>
                <w:numId w:val="15"/>
              </w:numPr>
              <w:snapToGrid w:val="0"/>
              <w:ind w:right="-57"/>
              <w:jc w:val="both"/>
              <w:rPr>
                <w:rFonts w:ascii="標楷體" w:eastAsia="標楷體" w:hAnsi="標楷體"/>
                <w:color w:val="000000"/>
              </w:rPr>
            </w:pPr>
            <w:r>
              <w:rPr>
                <w:rFonts w:ascii="標楷體" w:eastAsia="標楷體" w:hAnsi="標楷體" w:hint="eastAsia"/>
                <w:color w:val="000000"/>
              </w:rPr>
              <w:t>經費保留</w:t>
            </w:r>
          </w:p>
        </w:tc>
        <w:tc>
          <w:tcPr>
            <w:tcW w:w="3360" w:type="dxa"/>
            <w:vAlign w:val="center"/>
          </w:tcPr>
          <w:p w:rsidR="008A319C" w:rsidRDefault="008A319C">
            <w:pPr>
              <w:snapToGrid w:val="0"/>
              <w:jc w:val="both"/>
              <w:rPr>
                <w:rFonts w:ascii="標楷體" w:eastAsia="標楷體" w:hAnsi="標楷體"/>
                <w:color w:val="000000"/>
              </w:rPr>
            </w:pPr>
            <w:r>
              <w:rPr>
                <w:rFonts w:ascii="標楷體" w:eastAsia="標楷體" w:hAnsi="標楷體" w:hint="eastAsia"/>
                <w:color w:val="000000"/>
              </w:rPr>
              <w:t>經常支出及資本支出均可依規定辦理保留。</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資本支出如需繼續辦理，可依規定辦理保留，業務（經常）支出則無需保留。</w:t>
            </w:r>
          </w:p>
        </w:tc>
      </w:tr>
      <w:tr w:rsidR="008A319C">
        <w:trPr>
          <w:jc w:val="center"/>
        </w:trPr>
        <w:tc>
          <w:tcPr>
            <w:tcW w:w="3422" w:type="dxa"/>
            <w:vAlign w:val="center"/>
          </w:tcPr>
          <w:p w:rsidR="008A319C" w:rsidRDefault="008A319C">
            <w:pPr>
              <w:numPr>
                <w:ilvl w:val="0"/>
                <w:numId w:val="15"/>
              </w:numPr>
              <w:snapToGrid w:val="0"/>
              <w:ind w:right="-57"/>
              <w:jc w:val="both"/>
              <w:rPr>
                <w:rFonts w:ascii="標楷體" w:eastAsia="標楷體" w:hAnsi="標楷體" w:hint="eastAsia"/>
                <w:color w:val="000000"/>
              </w:rPr>
            </w:pPr>
            <w:r>
              <w:rPr>
                <w:rFonts w:ascii="標楷體" w:eastAsia="標楷體" w:hAnsi="標楷體" w:hint="eastAsia"/>
                <w:color w:val="000000"/>
              </w:rPr>
              <w:t>年度賸餘款</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除應付款或保留數準備外，須停止支用，自動解繳國庫。</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按「中央政府非營業基金</w:t>
            </w:r>
            <w:proofErr w:type="gramStart"/>
            <w:r>
              <w:rPr>
                <w:rFonts w:ascii="標楷體" w:eastAsia="標楷體" w:hAnsi="標楷體" w:hint="eastAsia"/>
                <w:color w:val="000000"/>
              </w:rPr>
              <w:t>賸餘解庫及</w:t>
            </w:r>
            <w:proofErr w:type="gramEnd"/>
            <w:r>
              <w:rPr>
                <w:rFonts w:ascii="標楷體" w:eastAsia="標楷體" w:hAnsi="標楷體" w:hint="eastAsia"/>
                <w:color w:val="000000"/>
              </w:rPr>
              <w:t>短</w:t>
            </w:r>
            <w:proofErr w:type="gramStart"/>
            <w:r>
              <w:rPr>
                <w:rFonts w:ascii="標楷體" w:eastAsia="標楷體" w:hAnsi="標楷體" w:hint="eastAsia"/>
                <w:color w:val="000000"/>
              </w:rPr>
              <w:t>絀</w:t>
            </w:r>
            <w:proofErr w:type="gramEnd"/>
            <w:r>
              <w:rPr>
                <w:rFonts w:ascii="標楷體" w:eastAsia="標楷體" w:hAnsi="標楷體" w:hint="eastAsia"/>
                <w:color w:val="000000"/>
              </w:rPr>
              <w:t>填補注意事項」分配後，留存基金循環運用。</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資金調度</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國庫統收統支，無資金調度問題。</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脫離國庫統收統支，自行統籌調度資金。</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資金運用</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國庫統收統支，資金無法運用。</w:t>
            </w:r>
          </w:p>
        </w:tc>
        <w:tc>
          <w:tcPr>
            <w:tcW w:w="3360" w:type="dxa"/>
            <w:vAlign w:val="center"/>
          </w:tcPr>
          <w:p w:rsidR="008A319C" w:rsidRDefault="008A319C">
            <w:pPr>
              <w:tabs>
                <w:tab w:val="left" w:pos="1440"/>
              </w:tabs>
              <w:snapToGrid w:val="0"/>
              <w:ind w:left="278" w:hangingChars="116" w:hanging="278"/>
              <w:jc w:val="both"/>
              <w:rPr>
                <w:rFonts w:ascii="標楷體" w:eastAsia="標楷體" w:hAnsi="標楷體" w:hint="eastAsia"/>
                <w:color w:val="000000"/>
              </w:rPr>
            </w:pPr>
            <w:r>
              <w:rPr>
                <w:rFonts w:ascii="標楷體" w:eastAsia="標楷體" w:hAnsi="標楷體" w:hint="eastAsia"/>
                <w:color w:val="000000"/>
              </w:rPr>
              <w:t>1.資金除可轉存定期存款產生孳息收入外，亦可投資政府債券、國庫券或其他短期票</w:t>
            </w:r>
            <w:proofErr w:type="gramStart"/>
            <w:r>
              <w:rPr>
                <w:rFonts w:ascii="標楷體" w:eastAsia="標楷體" w:hAnsi="標楷體" w:hint="eastAsia"/>
                <w:color w:val="000000"/>
              </w:rPr>
              <w:t>券</w:t>
            </w:r>
            <w:proofErr w:type="gramEnd"/>
            <w:r>
              <w:rPr>
                <w:rFonts w:ascii="標楷體" w:eastAsia="標楷體" w:hAnsi="標楷體" w:hint="eastAsia"/>
                <w:color w:val="000000"/>
              </w:rPr>
              <w:t>。</w:t>
            </w:r>
          </w:p>
          <w:p w:rsidR="008A319C" w:rsidRDefault="008A319C">
            <w:pPr>
              <w:tabs>
                <w:tab w:val="left" w:pos="1440"/>
              </w:tabs>
              <w:snapToGrid w:val="0"/>
              <w:ind w:left="278" w:hangingChars="116" w:hanging="278"/>
              <w:jc w:val="both"/>
              <w:rPr>
                <w:rFonts w:ascii="標楷體" w:eastAsia="標楷體" w:hAnsi="標楷體" w:hint="eastAsia"/>
                <w:color w:val="000000"/>
              </w:rPr>
            </w:pPr>
            <w:r>
              <w:rPr>
                <w:rFonts w:ascii="標楷體" w:eastAsia="標楷體" w:hAnsi="標楷體" w:hint="eastAsia"/>
                <w:color w:val="000000"/>
              </w:rPr>
              <w:t>2.「未指定用途」之捐贈收入可從事多元理財投資。</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教育部對各校之補助</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全額補助。</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部分補助。</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成本效益</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較不重視。</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較重視。</w:t>
            </w:r>
          </w:p>
        </w:tc>
      </w:tr>
      <w:tr w:rsidR="008A319C">
        <w:trPr>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消化預算</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較有可能。</w:t>
            </w:r>
          </w:p>
        </w:tc>
        <w:tc>
          <w:tcPr>
            <w:tcW w:w="3360" w:type="dxa"/>
            <w:vAlign w:val="center"/>
          </w:tcPr>
          <w:p w:rsidR="008A319C" w:rsidRDefault="008A319C">
            <w:pPr>
              <w:tabs>
                <w:tab w:val="left" w:pos="1440"/>
              </w:tabs>
              <w:snapToGrid w:val="0"/>
              <w:ind w:rightChars="241" w:right="578"/>
              <w:jc w:val="both"/>
              <w:rPr>
                <w:rFonts w:ascii="標楷體" w:eastAsia="標楷體" w:hAnsi="標楷體" w:hint="eastAsia"/>
                <w:color w:val="000000"/>
              </w:rPr>
            </w:pPr>
            <w:r>
              <w:rPr>
                <w:rFonts w:ascii="標楷體" w:eastAsia="標楷體" w:hAnsi="標楷體" w:hint="eastAsia"/>
                <w:color w:val="000000"/>
              </w:rPr>
              <w:t>比較不會。</w:t>
            </w:r>
          </w:p>
        </w:tc>
      </w:tr>
      <w:tr w:rsidR="008A319C">
        <w:trPr>
          <w:trHeight w:val="386"/>
          <w:jc w:val="center"/>
        </w:trPr>
        <w:tc>
          <w:tcPr>
            <w:tcW w:w="3422" w:type="dxa"/>
            <w:vAlign w:val="center"/>
          </w:tcPr>
          <w:p w:rsidR="008A319C" w:rsidRDefault="008A319C">
            <w:pPr>
              <w:numPr>
                <w:ilvl w:val="0"/>
                <w:numId w:val="15"/>
              </w:numPr>
              <w:snapToGrid w:val="0"/>
              <w:jc w:val="both"/>
              <w:rPr>
                <w:rFonts w:ascii="標楷體" w:eastAsia="標楷體" w:hAnsi="標楷體"/>
                <w:color w:val="000000"/>
              </w:rPr>
            </w:pPr>
            <w:r>
              <w:rPr>
                <w:rFonts w:ascii="標楷體" w:eastAsia="標楷體" w:hAnsi="標楷體" w:hint="eastAsia"/>
                <w:color w:val="000000"/>
              </w:rPr>
              <w:t>盈虧（餘</w:t>
            </w:r>
            <w:proofErr w:type="gramStart"/>
            <w:r>
              <w:rPr>
                <w:rFonts w:ascii="標楷體" w:eastAsia="標楷體" w:hAnsi="標楷體" w:hint="eastAsia"/>
                <w:color w:val="000000"/>
              </w:rPr>
              <w:t>絀</w:t>
            </w:r>
            <w:proofErr w:type="gramEnd"/>
            <w:r>
              <w:rPr>
                <w:rFonts w:ascii="標楷體" w:eastAsia="標楷體" w:hAnsi="標楷體" w:hint="eastAsia"/>
                <w:color w:val="000000"/>
              </w:rPr>
              <w:t>）</w:t>
            </w:r>
            <w:r>
              <w:rPr>
                <w:rFonts w:ascii="標楷體" w:eastAsia="標楷體" w:hAnsi="標楷體"/>
                <w:color w:val="000000"/>
              </w:rPr>
              <w:t xml:space="preserve"> </w:t>
            </w:r>
            <w:r>
              <w:rPr>
                <w:rFonts w:ascii="標楷體" w:eastAsia="標楷體" w:hAnsi="標楷體" w:hint="eastAsia"/>
                <w:color w:val="000000"/>
              </w:rPr>
              <w:t>負擔</w:t>
            </w:r>
          </w:p>
        </w:tc>
        <w:tc>
          <w:tcPr>
            <w:tcW w:w="3360" w:type="dxa"/>
            <w:vAlign w:val="center"/>
          </w:tcPr>
          <w:p w:rsidR="008A319C" w:rsidRDefault="008A319C">
            <w:pPr>
              <w:tabs>
                <w:tab w:val="left" w:pos="1440"/>
              </w:tabs>
              <w:snapToGrid w:val="0"/>
              <w:jc w:val="both"/>
              <w:rPr>
                <w:rFonts w:ascii="標楷體" w:eastAsia="標楷體" w:hAnsi="標楷體" w:hint="eastAsia"/>
                <w:color w:val="000000"/>
              </w:rPr>
            </w:pPr>
            <w:r>
              <w:rPr>
                <w:rFonts w:ascii="標楷體" w:eastAsia="標楷體" w:hAnsi="標楷體" w:hint="eastAsia"/>
                <w:color w:val="000000"/>
              </w:rPr>
              <w:t>無盈虧問題。</w:t>
            </w:r>
          </w:p>
        </w:tc>
        <w:tc>
          <w:tcPr>
            <w:tcW w:w="3360" w:type="dxa"/>
            <w:vAlign w:val="center"/>
          </w:tcPr>
          <w:p w:rsidR="008A319C" w:rsidRDefault="008A319C">
            <w:pPr>
              <w:tabs>
                <w:tab w:val="left" w:pos="1555"/>
              </w:tabs>
              <w:snapToGrid w:val="0"/>
              <w:ind w:rightChars="-45" w:right="-108"/>
              <w:jc w:val="both"/>
              <w:rPr>
                <w:rFonts w:ascii="標楷體" w:eastAsia="標楷體" w:hAnsi="標楷體" w:hint="eastAsia"/>
                <w:color w:val="000000"/>
              </w:rPr>
            </w:pPr>
            <w:r>
              <w:rPr>
                <w:rFonts w:ascii="標楷體" w:eastAsia="標楷體" w:hAnsi="標楷體" w:hint="eastAsia"/>
                <w:color w:val="000000"/>
              </w:rPr>
              <w:t>自負盈虧（餘</w:t>
            </w:r>
            <w:proofErr w:type="gramStart"/>
            <w:r>
              <w:rPr>
                <w:rFonts w:ascii="標楷體" w:eastAsia="標楷體" w:hAnsi="標楷體" w:hint="eastAsia"/>
                <w:color w:val="000000"/>
              </w:rPr>
              <w:t>絀</w:t>
            </w:r>
            <w:proofErr w:type="gramEnd"/>
            <w:r>
              <w:rPr>
                <w:rFonts w:ascii="標楷體" w:eastAsia="標楷體" w:hAnsi="標楷體" w:hint="eastAsia"/>
                <w:color w:val="000000"/>
              </w:rPr>
              <w:t>）。</w:t>
            </w:r>
          </w:p>
        </w:tc>
      </w:tr>
    </w:tbl>
    <w:p w:rsidR="008A319C" w:rsidRDefault="008A319C">
      <w:pPr>
        <w:widowControl/>
        <w:jc w:val="both"/>
        <w:rPr>
          <w:rFonts w:ascii="標楷體" w:eastAsia="標楷體" w:hAnsi="標楷體" w:cs="新細明體" w:hint="eastAsia"/>
          <w:kern w:val="0"/>
        </w:rPr>
      </w:pPr>
    </w:p>
    <w:p w:rsidR="008A319C" w:rsidRDefault="008A319C">
      <w:pPr>
        <w:widowControl/>
        <w:spacing w:line="400" w:lineRule="exact"/>
        <w:jc w:val="both"/>
        <w:rPr>
          <w:rFonts w:ascii="標楷體" w:eastAsia="標楷體" w:hAnsi="標楷體" w:cs="新細明體"/>
          <w:b/>
          <w:color w:val="333399"/>
          <w:kern w:val="0"/>
        </w:rPr>
      </w:pPr>
      <w:r>
        <w:rPr>
          <w:rFonts w:ascii="標楷體" w:eastAsia="標楷體" w:hAnsi="標楷體" w:cs="新細明體" w:hint="eastAsia"/>
          <w:b/>
          <w:color w:val="333399"/>
          <w:kern w:val="0"/>
          <w:shd w:val="clear" w:color="auto" w:fill="FFFF99"/>
        </w:rPr>
        <w:t>○五問：各國立大專院校是否得成立財團法人？如已設立，應如何處理？</w:t>
      </w:r>
    </w:p>
    <w:p w:rsidR="008A319C" w:rsidRDefault="008A319C">
      <w:pPr>
        <w:widowControl/>
        <w:tabs>
          <w:tab w:val="num" w:pos="1162"/>
        </w:tabs>
        <w:spacing w:line="400" w:lineRule="exact"/>
        <w:ind w:left="1540" w:hanging="1540"/>
        <w:jc w:val="both"/>
        <w:rPr>
          <w:rFonts w:ascii="標楷體" w:eastAsia="標楷體" w:hAnsi="標楷體" w:cs="新細明體" w:hint="eastAsia"/>
          <w:bCs/>
          <w:kern w:val="0"/>
        </w:rPr>
      </w:pPr>
      <w:r>
        <w:rPr>
          <w:rFonts w:ascii="標楷體" w:eastAsia="標楷體" w:hAnsi="標楷體" w:cs="新細明體" w:hint="eastAsia"/>
          <w:bCs/>
          <w:kern w:val="0"/>
        </w:rPr>
        <w:lastRenderedPageBreak/>
        <w:t>答：</w:t>
      </w:r>
    </w:p>
    <w:p w:rsidR="008A319C" w:rsidRDefault="008A319C">
      <w:pPr>
        <w:widowControl/>
        <w:numPr>
          <w:ilvl w:val="0"/>
          <w:numId w:val="3"/>
        </w:numPr>
        <w:tabs>
          <w:tab w:val="clear" w:pos="400"/>
          <w:tab w:val="num" w:pos="540"/>
        </w:tabs>
        <w:spacing w:line="400" w:lineRule="exact"/>
        <w:ind w:left="540" w:hanging="500"/>
        <w:jc w:val="both"/>
        <w:rPr>
          <w:rFonts w:ascii="標楷體" w:eastAsia="標楷體" w:hAnsi="標楷體" w:cs="新細明體" w:hint="eastAsia"/>
          <w:kern w:val="0"/>
        </w:rPr>
      </w:pPr>
      <w:r>
        <w:rPr>
          <w:rFonts w:ascii="標楷體" w:eastAsia="標楷體" w:hAnsi="標楷體" w:cs="新細明體" w:hint="eastAsia"/>
          <w:bCs/>
          <w:kern w:val="0"/>
        </w:rPr>
        <w:t>依據教育部八十四年十一月四日台（八四）會一字第０五四二０九號函示，為貫徹校務基金制度之推展，國立大專院校申請籌設與學校業務有關或重疊之財團法人基金會，教育部一律不予同意。對各國立大專院校目前已設立之財團法人基金會，應</w:t>
      </w:r>
      <w:proofErr w:type="gramStart"/>
      <w:r>
        <w:rPr>
          <w:rFonts w:ascii="標楷體" w:eastAsia="標楷體" w:hAnsi="標楷體" w:cs="新細明體" w:hint="eastAsia"/>
          <w:bCs/>
          <w:kern w:val="0"/>
        </w:rPr>
        <w:t>採</w:t>
      </w:r>
      <w:proofErr w:type="gramEnd"/>
      <w:r>
        <w:rPr>
          <w:rFonts w:ascii="標楷體" w:eastAsia="標楷體" w:hAnsi="標楷體" w:cs="新細明體" w:hint="eastAsia"/>
          <w:bCs/>
          <w:kern w:val="0"/>
        </w:rPr>
        <w:t>下列措施：</w:t>
      </w:r>
    </w:p>
    <w:p w:rsidR="008A319C" w:rsidRDefault="008A319C">
      <w:pPr>
        <w:widowControl/>
        <w:spacing w:line="400" w:lineRule="exact"/>
        <w:ind w:leftChars="168" w:left="1080" w:hangingChars="282" w:hanging="677"/>
        <w:jc w:val="both"/>
        <w:rPr>
          <w:rFonts w:ascii="標楷體" w:eastAsia="標楷體" w:hAnsi="標楷體" w:cs="新細明體" w:hint="eastAsia"/>
          <w:bCs/>
          <w:kern w:val="0"/>
        </w:rPr>
      </w:pPr>
      <w:r>
        <w:rPr>
          <w:rFonts w:ascii="標楷體" w:eastAsia="標楷體" w:hAnsi="標楷體" w:cs="新細明體" w:hint="eastAsia"/>
          <w:bCs/>
          <w:kern w:val="0"/>
        </w:rPr>
        <w:t>（一）</w:t>
      </w:r>
      <w:r>
        <w:rPr>
          <w:rFonts w:ascii="標楷體" w:eastAsia="標楷體" w:hAnsi="標楷體"/>
          <w:bCs/>
          <w:kern w:val="0"/>
        </w:rPr>
        <w:t> </w:t>
      </w:r>
      <w:r>
        <w:rPr>
          <w:rFonts w:ascii="標楷體" w:eastAsia="標楷體" w:hAnsi="標楷體" w:cs="新細明體" w:hint="eastAsia"/>
          <w:bCs/>
          <w:kern w:val="0"/>
        </w:rPr>
        <w:t>由各校視未來校務基金運作狀況，自行決定是否予以裁撤，如經決定繼續運作之財團法人基金會，其業務與校務基金有關或重疊者，應予明確劃分，其屬學校得以辦理之業務，均納入學校校務基金收支處理，不得移轉或交由相關財團法人基金會辦理。</w:t>
      </w:r>
    </w:p>
    <w:p w:rsidR="008A319C" w:rsidRDefault="008A319C">
      <w:pPr>
        <w:widowControl/>
        <w:spacing w:line="400" w:lineRule="exact"/>
        <w:ind w:leftChars="168" w:left="1080" w:hangingChars="282" w:hanging="677"/>
        <w:jc w:val="both"/>
        <w:rPr>
          <w:rFonts w:ascii="標楷體" w:eastAsia="標楷體" w:hAnsi="標楷體" w:cs="新細明體" w:hint="eastAsia"/>
          <w:kern w:val="0"/>
        </w:rPr>
      </w:pPr>
      <w:r>
        <w:rPr>
          <w:rFonts w:ascii="標楷體" w:eastAsia="標楷體" w:hAnsi="標楷體" w:cs="新細明體" w:hint="eastAsia"/>
          <w:bCs/>
          <w:kern w:val="0"/>
        </w:rPr>
        <w:t>（二）學校借用場地、人力予財團法人基金會運作者，應切實依照相關法令及學校作業規定辦理；有關雙方權利義務，</w:t>
      </w:r>
      <w:proofErr w:type="gramStart"/>
      <w:r>
        <w:rPr>
          <w:rFonts w:ascii="標楷體" w:eastAsia="標楷體" w:hAnsi="標楷體" w:cs="新細明體" w:hint="eastAsia"/>
          <w:bCs/>
          <w:kern w:val="0"/>
        </w:rPr>
        <w:t>並宜明定</w:t>
      </w:r>
      <w:proofErr w:type="gramEnd"/>
      <w:r>
        <w:rPr>
          <w:rFonts w:ascii="標楷體" w:eastAsia="標楷體" w:hAnsi="標楷體" w:cs="新細明體" w:hint="eastAsia"/>
          <w:bCs/>
          <w:kern w:val="0"/>
        </w:rPr>
        <w:t>契約妥予規範，另學校專任人員兼任基金會職務者，亦應符合人事法令之規定。</w:t>
      </w:r>
    </w:p>
    <w:p w:rsidR="008A319C" w:rsidRDefault="008A319C">
      <w:pPr>
        <w:widowControl/>
        <w:numPr>
          <w:ilvl w:val="0"/>
          <w:numId w:val="3"/>
        </w:numPr>
        <w:tabs>
          <w:tab w:val="clear" w:pos="400"/>
          <w:tab w:val="num" w:pos="540"/>
        </w:tabs>
        <w:spacing w:line="400" w:lineRule="exact"/>
        <w:ind w:left="540" w:hanging="500"/>
        <w:jc w:val="both"/>
        <w:rPr>
          <w:rFonts w:ascii="標楷體" w:eastAsia="標楷體" w:hAnsi="標楷體" w:cs="新細明體" w:hint="eastAsia"/>
          <w:kern w:val="0"/>
        </w:rPr>
      </w:pPr>
      <w:r>
        <w:rPr>
          <w:rFonts w:ascii="標楷體" w:eastAsia="標楷體" w:hAnsi="標楷體" w:cs="新細明體" w:hint="eastAsia"/>
          <w:bCs/>
          <w:kern w:val="0"/>
        </w:rPr>
        <w:t>教育部八十七年十二月四日台（八七）社四字第八七一三五七一一號函及八十八年二月一日台（八八）社四字第八八００八二四七號函，多次函知學校及相關單位重申上開意旨。</w:t>
      </w:r>
    </w:p>
    <w:p w:rsidR="008A319C" w:rsidRDefault="008A319C">
      <w:pPr>
        <w:widowControl/>
        <w:numPr>
          <w:ilvl w:val="0"/>
          <w:numId w:val="3"/>
        </w:numPr>
        <w:tabs>
          <w:tab w:val="clear" w:pos="400"/>
          <w:tab w:val="num" w:pos="540"/>
        </w:tabs>
        <w:spacing w:line="400" w:lineRule="exact"/>
        <w:ind w:left="540" w:hanging="500"/>
        <w:jc w:val="both"/>
        <w:rPr>
          <w:rFonts w:ascii="標楷體" w:eastAsia="標楷體" w:hAnsi="標楷體" w:cs="新細明體"/>
          <w:kern w:val="0"/>
        </w:rPr>
      </w:pPr>
      <w:r>
        <w:rPr>
          <w:rFonts w:ascii="標楷體" w:eastAsia="標楷體" w:hAnsi="標楷體" w:cs="新細明體" w:hint="eastAsia"/>
          <w:bCs/>
          <w:kern w:val="0"/>
        </w:rPr>
        <w:t>國立大學校院校務基金管理及監督辦法第六條已明定：學校或校內單位不得再申請籌設財團法人。對各國立大專院校已設立之財團法人應如何處理，其情形同前述財團法人基金會之處理方式。</w:t>
      </w:r>
    </w:p>
    <w:p w:rsidR="008A319C" w:rsidRDefault="008A319C">
      <w:pPr>
        <w:widowControl/>
        <w:numPr>
          <w:ilvl w:val="0"/>
          <w:numId w:val="4"/>
        </w:numPr>
        <w:spacing w:line="400" w:lineRule="exact"/>
        <w:jc w:val="both"/>
        <w:rPr>
          <w:rFonts w:ascii="標楷體" w:eastAsia="標楷體" w:hAnsi="標楷體" w:cs="新細明體" w:hint="eastAsia"/>
          <w:bCs/>
          <w:kern w:val="0"/>
        </w:rPr>
      </w:pPr>
      <w:r>
        <w:rPr>
          <w:rFonts w:ascii="標楷體" w:eastAsia="標楷體" w:hAnsi="標楷體" w:cs="新細明體" w:hint="eastAsia"/>
          <w:bCs/>
          <w:kern w:val="0"/>
        </w:rPr>
        <w:t>學校場地借用收費標準可參考下列原則訂定：每月租金計算按建物房地總值百分之○．五至</w:t>
      </w:r>
      <w:proofErr w:type="gramStart"/>
      <w:r>
        <w:rPr>
          <w:rFonts w:ascii="標楷體" w:eastAsia="標楷體" w:hAnsi="標楷體" w:cs="新細明體" w:hint="eastAsia"/>
          <w:bCs/>
          <w:kern w:val="0"/>
        </w:rPr>
        <w:t>百分之一間訂定</w:t>
      </w:r>
      <w:proofErr w:type="gramEnd"/>
      <w:r>
        <w:rPr>
          <w:rFonts w:ascii="標楷體" w:eastAsia="標楷體" w:hAnsi="標楷體" w:cs="新細明體" w:hint="eastAsia"/>
          <w:bCs/>
          <w:kern w:val="0"/>
        </w:rPr>
        <w:t>，或參照附近地區房屋租金價格訂定。</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○六問：教育部如何督導校務基金之運作？</w:t>
      </w:r>
    </w:p>
    <w:p w:rsidR="008A319C" w:rsidRDefault="008A319C">
      <w:pPr>
        <w:widowControl/>
        <w:tabs>
          <w:tab w:val="num" w:pos="1190"/>
        </w:tabs>
        <w:spacing w:line="400" w:lineRule="exact"/>
        <w:ind w:left="1580" w:hanging="1580"/>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numPr>
          <w:ilvl w:val="0"/>
          <w:numId w:val="5"/>
        </w:numPr>
        <w:spacing w:line="400" w:lineRule="exact"/>
        <w:jc w:val="both"/>
        <w:rPr>
          <w:rFonts w:ascii="標楷體" w:eastAsia="標楷體" w:hAnsi="標楷體" w:cs="新細明體" w:hint="eastAsia"/>
          <w:bCs/>
          <w:kern w:val="0"/>
        </w:rPr>
      </w:pPr>
      <w:r>
        <w:rPr>
          <w:rFonts w:ascii="標楷體" w:eastAsia="標楷體" w:hAnsi="標楷體" w:cs="新細明體" w:hint="eastAsia"/>
          <w:bCs/>
          <w:kern w:val="0"/>
        </w:rPr>
        <w:t>訂定國立大學校院校務基金管理及監督辦法，以落實校務基金之管理與監督。</w:t>
      </w:r>
    </w:p>
    <w:p w:rsidR="008A319C" w:rsidRDefault="008A319C">
      <w:pPr>
        <w:widowControl/>
        <w:numPr>
          <w:ilvl w:val="0"/>
          <w:numId w:val="5"/>
        </w:numPr>
        <w:spacing w:line="400" w:lineRule="exact"/>
        <w:jc w:val="both"/>
        <w:rPr>
          <w:rFonts w:ascii="標楷體" w:eastAsia="標楷體" w:hAnsi="標楷體" w:cs="新細明體" w:hint="eastAsia"/>
          <w:kern w:val="0"/>
        </w:rPr>
      </w:pPr>
      <w:r>
        <w:rPr>
          <w:rFonts w:ascii="標楷體" w:eastAsia="標楷體" w:hAnsi="標楷體" w:cs="新細明體" w:hint="eastAsia"/>
          <w:bCs/>
          <w:kern w:val="0"/>
        </w:rPr>
        <w:t>各大學依現行法規運作，每月定期製作財務報表送教育部，以達監督的功能。</w:t>
      </w:r>
    </w:p>
    <w:p w:rsidR="008A319C" w:rsidRDefault="008A319C">
      <w:pPr>
        <w:widowControl/>
        <w:numPr>
          <w:ilvl w:val="0"/>
          <w:numId w:val="5"/>
        </w:numPr>
        <w:spacing w:line="400" w:lineRule="exact"/>
        <w:jc w:val="both"/>
        <w:rPr>
          <w:rFonts w:ascii="標楷體" w:eastAsia="標楷體" w:hAnsi="標楷體" w:cs="新細明體" w:hint="eastAsia"/>
          <w:kern w:val="0"/>
        </w:rPr>
      </w:pPr>
      <w:r>
        <w:rPr>
          <w:rFonts w:ascii="標楷體" w:eastAsia="標楷體" w:hAnsi="標楷體" w:cs="新細明體" w:hint="eastAsia"/>
          <w:bCs/>
          <w:kern w:val="0"/>
        </w:rPr>
        <w:t>定期或不定期舉辦研討會，介紹運作之相關規定，並加強財務經營績效之宣導。</w:t>
      </w:r>
    </w:p>
    <w:p w:rsidR="008A319C" w:rsidRDefault="008A319C">
      <w:pPr>
        <w:widowControl/>
        <w:numPr>
          <w:ilvl w:val="0"/>
          <w:numId w:val="5"/>
        </w:numPr>
        <w:spacing w:line="400" w:lineRule="exact"/>
        <w:jc w:val="both"/>
        <w:rPr>
          <w:rFonts w:ascii="標楷體" w:eastAsia="標楷體" w:hAnsi="標楷體" w:cs="新細明體" w:hint="eastAsia"/>
          <w:kern w:val="0"/>
        </w:rPr>
      </w:pPr>
      <w:r>
        <w:rPr>
          <w:rFonts w:ascii="標楷體" w:eastAsia="標楷體" w:hAnsi="標楷體" w:cs="新細明體" w:hint="eastAsia"/>
          <w:bCs/>
          <w:kern w:val="0"/>
        </w:rPr>
        <w:t>訂定國立大學校院校務基金會計制度之一致規定，以應基金運作與管理之需求。</w:t>
      </w:r>
    </w:p>
    <w:p w:rsidR="008A319C" w:rsidRDefault="008A319C">
      <w:pPr>
        <w:widowControl/>
        <w:numPr>
          <w:ilvl w:val="0"/>
          <w:numId w:val="5"/>
        </w:numPr>
        <w:spacing w:line="400" w:lineRule="exact"/>
        <w:jc w:val="both"/>
        <w:rPr>
          <w:rFonts w:ascii="標楷體" w:eastAsia="標楷體" w:hAnsi="標楷體" w:cs="新細明體" w:hint="eastAsia"/>
          <w:kern w:val="0"/>
        </w:rPr>
      </w:pPr>
      <w:r>
        <w:rPr>
          <w:rFonts w:ascii="標楷體" w:eastAsia="標楷體" w:hAnsi="標楷體" w:cs="新細明體" w:hint="eastAsia"/>
          <w:bCs/>
          <w:kern w:val="0"/>
        </w:rPr>
        <w:t>輔導學校加強內部運作規章及經營管理制度之建立。</w:t>
      </w:r>
    </w:p>
    <w:p w:rsidR="008A319C" w:rsidRDefault="008A319C">
      <w:pPr>
        <w:widowControl/>
        <w:numPr>
          <w:ilvl w:val="0"/>
          <w:numId w:val="5"/>
        </w:numPr>
        <w:spacing w:line="400" w:lineRule="exact"/>
        <w:jc w:val="both"/>
        <w:rPr>
          <w:rFonts w:ascii="標楷體" w:eastAsia="標楷體" w:hAnsi="標楷體" w:cs="新細明體" w:hint="eastAsia"/>
          <w:kern w:val="0"/>
        </w:rPr>
      </w:pPr>
      <w:r>
        <w:rPr>
          <w:rFonts w:ascii="標楷體" w:eastAsia="標楷體" w:hAnsi="標楷體" w:cs="新細明體" w:hint="eastAsia"/>
          <w:bCs/>
          <w:kern w:val="0"/>
        </w:rPr>
        <w:t>各國立大專院校不得再申請籌設與學校業務有關或重疊之財團法人。</w:t>
      </w:r>
    </w:p>
    <w:p w:rsidR="008A319C" w:rsidRDefault="008A319C">
      <w:pPr>
        <w:widowControl/>
        <w:numPr>
          <w:ilvl w:val="0"/>
          <w:numId w:val="5"/>
        </w:numPr>
        <w:spacing w:line="400" w:lineRule="exact"/>
        <w:jc w:val="both"/>
        <w:rPr>
          <w:rFonts w:ascii="標楷體" w:eastAsia="標楷體" w:hAnsi="標楷體" w:cs="新細明體"/>
          <w:kern w:val="0"/>
        </w:rPr>
      </w:pPr>
      <w:r>
        <w:rPr>
          <w:rFonts w:ascii="標楷體" w:eastAsia="標楷體" w:hAnsi="標楷體" w:cs="新細明體" w:hint="eastAsia"/>
          <w:bCs/>
          <w:kern w:val="0"/>
        </w:rPr>
        <w:t>建立校務基金運作績效考核制度，評估各校實施成效。</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ind w:left="1580" w:hanging="1580"/>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○七問：實施校務基金制度後所產生之預期效益，及已實施校務基金之學校其具體成效如何</w:t>
      </w:r>
      <w:proofErr w:type="gramStart"/>
      <w:r>
        <w:rPr>
          <w:rFonts w:ascii="標楷體" w:eastAsia="標楷體" w:hAnsi="標楷體" w:cs="新細明體" w:hint="eastAsia"/>
          <w:b/>
          <w:color w:val="333399"/>
          <w:kern w:val="0"/>
          <w:shd w:val="clear" w:color="auto" w:fill="FFFF99"/>
        </w:rPr>
        <w:t>﹖</w:t>
      </w:r>
      <w:proofErr w:type="gramEnd"/>
    </w:p>
    <w:p w:rsidR="008A319C" w:rsidRDefault="008A319C">
      <w:pPr>
        <w:widowControl/>
        <w:tabs>
          <w:tab w:val="num" w:pos="1196"/>
        </w:tabs>
        <w:spacing w:line="400" w:lineRule="exact"/>
        <w:ind w:left="1300" w:hanging="1280"/>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鼓勵學校廣籌財源，降低因政府財政困難，對高等教育資源緊縮、排擠之負面影響，奠定高等教育更穩定之發展基礎。</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提供各校財務運用較大之自主空間，落實校務發展規劃，促進各大學良性競爭。</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縮短財務收支作業流程，提高行政效率。</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加強學校注重成本效益觀念，提高經費使用效率。</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靈活財務收支調度，增加孳息收入。</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lastRenderedPageBreak/>
        <w:t>加強社會服務功能，吸收社會資源，有效促進財源的拓展。</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hint="eastAsia"/>
          <w:kern w:val="0"/>
        </w:rPr>
      </w:pPr>
      <w:r>
        <w:rPr>
          <w:rFonts w:ascii="標楷體" w:eastAsia="標楷體" w:hAnsi="標楷體" w:cs="新細明體" w:hint="eastAsia"/>
          <w:bCs/>
          <w:kern w:val="0"/>
        </w:rPr>
        <w:t>透過會計報表資訊，發揮會計決策功能。</w:t>
      </w:r>
    </w:p>
    <w:p w:rsidR="008A319C" w:rsidRDefault="008A319C">
      <w:pPr>
        <w:widowControl/>
        <w:numPr>
          <w:ilvl w:val="0"/>
          <w:numId w:val="7"/>
        </w:numPr>
        <w:tabs>
          <w:tab w:val="clear" w:pos="380"/>
          <w:tab w:val="num" w:pos="540"/>
        </w:tabs>
        <w:spacing w:line="400" w:lineRule="exact"/>
        <w:ind w:left="540" w:hanging="520"/>
        <w:jc w:val="both"/>
        <w:rPr>
          <w:rFonts w:ascii="標楷體" w:eastAsia="標楷體" w:hAnsi="標楷體" w:cs="新細明體"/>
          <w:kern w:val="0"/>
        </w:rPr>
      </w:pPr>
      <w:r>
        <w:rPr>
          <w:rFonts w:ascii="標楷體" w:eastAsia="標楷體" w:hAnsi="標楷體" w:cs="新細明體" w:hint="eastAsia"/>
          <w:bCs/>
          <w:kern w:val="0"/>
        </w:rPr>
        <w:t>公私立大專院校財務運作制度較趨一致，便利主管機關監督輔導。</w:t>
      </w:r>
    </w:p>
    <w:p w:rsidR="008A319C" w:rsidRDefault="008A319C">
      <w:pPr>
        <w:widowControl/>
        <w:spacing w:line="400" w:lineRule="exact"/>
        <w:jc w:val="both"/>
        <w:rPr>
          <w:rFonts w:ascii="標楷體" w:eastAsia="標楷體" w:hAnsi="標楷體" w:cs="新細明體" w:hint="eastAsia"/>
          <w:bCs/>
          <w:kern w:val="0"/>
        </w:rPr>
      </w:pPr>
    </w:p>
    <w:p w:rsidR="008A319C" w:rsidRDefault="008A319C">
      <w:pPr>
        <w:widowControl/>
        <w:spacing w:line="400" w:lineRule="exact"/>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○八問：校務基金之收入來源為何？</w:t>
      </w:r>
    </w:p>
    <w:p w:rsidR="008A319C" w:rsidRDefault="008A319C">
      <w:pPr>
        <w:widowControl/>
        <w:spacing w:line="400" w:lineRule="exact"/>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spacing w:line="400" w:lineRule="exact"/>
        <w:jc w:val="both"/>
        <w:rPr>
          <w:rFonts w:ascii="標楷體" w:eastAsia="標楷體" w:hAnsi="標楷體" w:cs="新細明體"/>
          <w:kern w:val="0"/>
        </w:rPr>
      </w:pPr>
      <w:r>
        <w:rPr>
          <w:rFonts w:ascii="標楷體" w:eastAsia="標楷體" w:hAnsi="標楷體" w:cs="新細明體" w:hint="eastAsia"/>
          <w:bCs/>
          <w:kern w:val="0"/>
        </w:rPr>
        <w:t>一、校務基金之收入來源如下：</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（一）政府編列預算撥付。</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（二）學雜費收入。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（三）推廣教育收入。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（四）建教合作收入。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（五）場地設備管理收入。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（六）捐贈收入。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（七）孳息收入。</w:t>
      </w:r>
    </w:p>
    <w:p w:rsidR="008A319C" w:rsidRDefault="008A319C">
      <w:pPr>
        <w:widowControl/>
        <w:tabs>
          <w:tab w:val="num" w:pos="1758"/>
        </w:tabs>
        <w:spacing w:line="400" w:lineRule="exact"/>
        <w:ind w:left="1758" w:hanging="1218"/>
        <w:jc w:val="both"/>
        <w:rPr>
          <w:rFonts w:ascii="標楷體" w:eastAsia="標楷體" w:hAnsi="標楷體" w:cs="新細明體"/>
          <w:kern w:val="0"/>
        </w:rPr>
      </w:pPr>
      <w:r>
        <w:rPr>
          <w:rFonts w:ascii="標楷體" w:eastAsia="標楷體" w:hAnsi="標楷體" w:cs="新細明體" w:hint="eastAsia"/>
          <w:bCs/>
          <w:kern w:val="0"/>
        </w:rPr>
        <w:t>（八）其他收入。</w:t>
      </w:r>
    </w:p>
    <w:p w:rsidR="008A319C" w:rsidRDefault="008A319C">
      <w:pPr>
        <w:widowControl/>
        <w:spacing w:line="400" w:lineRule="exact"/>
        <w:ind w:left="1580" w:hanging="1580"/>
        <w:jc w:val="both"/>
        <w:rPr>
          <w:rFonts w:ascii="標楷體" w:eastAsia="標楷體" w:hAnsi="標楷體" w:cs="新細明體"/>
          <w:kern w:val="0"/>
        </w:rPr>
      </w:pPr>
      <w:r>
        <w:rPr>
          <w:rFonts w:ascii="標楷體" w:eastAsia="標楷體" w:hAnsi="標楷體" w:cs="新細明體"/>
          <w:bCs/>
          <w:kern w:val="0"/>
        </w:rPr>
        <w:t>二、前項學雜費之收費標準，依教育部之規定；政府編列預算撥付，由教育部依預算程序辦理。</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○九問：實施校務基金後，是否一切</w:t>
      </w:r>
      <w:proofErr w:type="gramStart"/>
      <w:r>
        <w:rPr>
          <w:rFonts w:ascii="標楷體" w:eastAsia="標楷體" w:hAnsi="標楷體" w:cs="新細明體" w:hint="eastAsia"/>
          <w:b/>
          <w:color w:val="333399"/>
          <w:kern w:val="0"/>
          <w:shd w:val="clear" w:color="auto" w:fill="FFFF99"/>
        </w:rPr>
        <w:t>收支均須納入</w:t>
      </w:r>
      <w:proofErr w:type="gramEnd"/>
      <w:r>
        <w:rPr>
          <w:rFonts w:ascii="標楷體" w:eastAsia="標楷體" w:hAnsi="標楷體" w:cs="新細明體" w:hint="eastAsia"/>
          <w:b/>
          <w:color w:val="333399"/>
          <w:kern w:val="0"/>
          <w:shd w:val="clear" w:color="auto" w:fill="FFFF99"/>
        </w:rPr>
        <w:t>基金？</w:t>
      </w:r>
    </w:p>
    <w:p w:rsidR="008A319C" w:rsidRDefault="008A319C">
      <w:pPr>
        <w:widowControl/>
        <w:tabs>
          <w:tab w:val="num" w:pos="1191"/>
        </w:tabs>
        <w:spacing w:line="400" w:lineRule="exact"/>
        <w:ind w:left="1500" w:hanging="1500"/>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numPr>
          <w:ilvl w:val="0"/>
          <w:numId w:val="9"/>
        </w:numPr>
        <w:tabs>
          <w:tab w:val="clear" w:pos="360"/>
          <w:tab w:val="num" w:pos="540"/>
        </w:tabs>
        <w:spacing w:line="400" w:lineRule="exact"/>
        <w:ind w:left="540" w:hanging="540"/>
        <w:jc w:val="both"/>
        <w:rPr>
          <w:rFonts w:ascii="標楷體" w:eastAsia="標楷體" w:hAnsi="標楷體" w:cs="新細明體" w:hint="eastAsia"/>
          <w:kern w:val="0"/>
        </w:rPr>
      </w:pPr>
      <w:r>
        <w:rPr>
          <w:rFonts w:ascii="標楷體" w:eastAsia="標楷體" w:hAnsi="標楷體" w:cs="新細明體" w:hint="eastAsia"/>
          <w:bCs/>
          <w:kern w:val="0"/>
        </w:rPr>
        <w:t>為維護學校財務之完整，實施校務基金後，其一切</w:t>
      </w:r>
      <w:proofErr w:type="gramStart"/>
      <w:r>
        <w:rPr>
          <w:rFonts w:ascii="標楷體" w:eastAsia="標楷體" w:hAnsi="標楷體" w:cs="新細明體" w:hint="eastAsia"/>
          <w:bCs/>
          <w:kern w:val="0"/>
        </w:rPr>
        <w:t>收支均須納入</w:t>
      </w:r>
      <w:proofErr w:type="gramEnd"/>
      <w:r>
        <w:rPr>
          <w:rFonts w:ascii="標楷體" w:eastAsia="標楷體" w:hAnsi="標楷體" w:cs="新細明體" w:hint="eastAsia"/>
          <w:bCs/>
          <w:kern w:val="0"/>
        </w:rPr>
        <w:t>基金運作。凡接受教育部、農業委員會、環境保護署、國家科學委員會等機關委辦或補助之專題研究計畫，其經費收支應納入校務基金作業收支管理。另接受公務機關委辦或補助計畫之結餘款及所孳生利息，應納入校務基金作業收支並由學校統籌管理運用，</w:t>
      </w:r>
      <w:proofErr w:type="gramStart"/>
      <w:r>
        <w:rPr>
          <w:rFonts w:ascii="標楷體" w:eastAsia="標楷體" w:hAnsi="標楷體" w:cs="新細明體" w:hint="eastAsia"/>
          <w:bCs/>
          <w:kern w:val="0"/>
        </w:rPr>
        <w:t>免予繳回</w:t>
      </w:r>
      <w:proofErr w:type="gramEnd"/>
      <w:r>
        <w:rPr>
          <w:rFonts w:ascii="標楷體" w:eastAsia="標楷體" w:hAnsi="標楷體" w:cs="新細明體" w:hint="eastAsia"/>
          <w:bCs/>
          <w:kern w:val="0"/>
        </w:rPr>
        <w:t>國庫。</w:t>
      </w:r>
    </w:p>
    <w:p w:rsidR="008A319C" w:rsidRDefault="008A319C">
      <w:pPr>
        <w:widowControl/>
        <w:numPr>
          <w:ilvl w:val="0"/>
          <w:numId w:val="9"/>
        </w:numPr>
        <w:tabs>
          <w:tab w:val="clear" w:pos="360"/>
          <w:tab w:val="num" w:pos="540"/>
        </w:tabs>
        <w:spacing w:line="400" w:lineRule="exact"/>
        <w:ind w:left="540" w:hanging="540"/>
        <w:jc w:val="both"/>
        <w:rPr>
          <w:rFonts w:ascii="標楷體" w:eastAsia="標楷體" w:hAnsi="標楷體" w:cs="新細明體"/>
          <w:kern w:val="0"/>
        </w:rPr>
      </w:pPr>
      <w:r>
        <w:rPr>
          <w:rFonts w:ascii="標楷體" w:eastAsia="標楷體" w:hAnsi="標楷體" w:cs="新細明體" w:hint="eastAsia"/>
          <w:bCs/>
          <w:kern w:val="0"/>
        </w:rPr>
        <w:t>教育部為避免造成排擠校務基金財源之籌措，嚴重扭曲校務基金整體財務收支全貌，進而影響校務基金之執行成效及推廣作業，已通函各國立大專院校，嗣後不得再申請籌設與學校業務有關或重疊之財團法人基金會，國立大學校院校務基金管理及監督辦法第二十條亦明定，學校或校內單位不得再申請籌設財團法人。另教育部亦刻正參酌審計部意見</w:t>
      </w:r>
      <w:proofErr w:type="gramStart"/>
      <w:r>
        <w:rPr>
          <w:rFonts w:ascii="標楷體" w:eastAsia="標楷體" w:hAnsi="標楷體" w:cs="新細明體" w:hint="eastAsia"/>
          <w:bCs/>
          <w:kern w:val="0"/>
        </w:rPr>
        <w:t>研</w:t>
      </w:r>
      <w:proofErr w:type="gramEnd"/>
      <w:r>
        <w:rPr>
          <w:rFonts w:ascii="標楷體" w:eastAsia="標楷體" w:hAnsi="標楷體" w:cs="新細明體" w:hint="eastAsia"/>
          <w:bCs/>
          <w:kern w:val="0"/>
        </w:rPr>
        <w:t>擬修正國立大專院校組設之財團法人基金會與校務基金關係之處理原則及配合措施。</w:t>
      </w:r>
    </w:p>
    <w:p w:rsidR="008A319C" w:rsidRDefault="008A319C">
      <w:pPr>
        <w:widowControl/>
        <w:spacing w:line="400" w:lineRule="exact"/>
        <w:ind w:left="1600" w:hanging="1600"/>
        <w:jc w:val="both"/>
        <w:rPr>
          <w:rFonts w:ascii="標楷體" w:eastAsia="標楷體" w:hAnsi="標楷體" w:cs="新細明體" w:hint="eastAsia"/>
          <w:bCs/>
          <w:kern w:val="0"/>
        </w:rPr>
      </w:pPr>
    </w:p>
    <w:p w:rsidR="008A319C" w:rsidRDefault="008A319C">
      <w:pPr>
        <w:widowControl/>
        <w:spacing w:line="400" w:lineRule="exact"/>
        <w:ind w:left="1600" w:hanging="1600"/>
        <w:jc w:val="both"/>
        <w:rPr>
          <w:rFonts w:ascii="標楷體" w:eastAsia="標楷體" w:hAnsi="標楷體" w:cs="新細明體"/>
          <w:b/>
          <w:color w:val="333399"/>
          <w:kern w:val="0"/>
          <w:shd w:val="clear" w:color="auto" w:fill="FFFF99"/>
        </w:rPr>
      </w:pPr>
      <w:r>
        <w:rPr>
          <w:rFonts w:ascii="標楷體" w:eastAsia="標楷體" w:hAnsi="標楷體" w:cs="新細明體" w:hint="eastAsia"/>
          <w:b/>
          <w:color w:val="333399"/>
          <w:kern w:val="0"/>
          <w:shd w:val="clear" w:color="auto" w:fill="FFFF99"/>
        </w:rPr>
        <w:t>一○問：校務基金之運作是否仍須受相關法令之限制？是否會造成學校使用經費之浮濫？</w:t>
      </w:r>
    </w:p>
    <w:p w:rsidR="008A319C" w:rsidRDefault="008A319C">
      <w:pPr>
        <w:widowControl/>
        <w:tabs>
          <w:tab w:val="num" w:pos="1191"/>
        </w:tabs>
        <w:spacing w:line="400" w:lineRule="exact"/>
        <w:ind w:left="1580" w:hanging="1580"/>
        <w:jc w:val="both"/>
        <w:rPr>
          <w:rFonts w:ascii="標楷體" w:eastAsia="標楷體" w:hAnsi="標楷體" w:cs="新細明體" w:hint="eastAsia"/>
          <w:bCs/>
          <w:kern w:val="0"/>
        </w:rPr>
      </w:pPr>
      <w:r>
        <w:rPr>
          <w:rFonts w:ascii="標楷體" w:eastAsia="標楷體" w:hAnsi="標楷體" w:cs="新細明體" w:hint="eastAsia"/>
          <w:bCs/>
          <w:kern w:val="0"/>
        </w:rPr>
        <w:t>答：</w:t>
      </w:r>
    </w:p>
    <w:p w:rsidR="008A319C" w:rsidRDefault="008A319C">
      <w:pPr>
        <w:widowControl/>
        <w:numPr>
          <w:ilvl w:val="0"/>
          <w:numId w:val="10"/>
        </w:numPr>
        <w:tabs>
          <w:tab w:val="clear" w:pos="360"/>
          <w:tab w:val="num" w:pos="540"/>
        </w:tabs>
        <w:spacing w:line="400" w:lineRule="exact"/>
        <w:ind w:left="540" w:hanging="540"/>
        <w:jc w:val="both"/>
        <w:rPr>
          <w:rFonts w:ascii="標楷體" w:eastAsia="標楷體" w:hAnsi="標楷體" w:cs="新細明體" w:hint="eastAsia"/>
          <w:bCs/>
          <w:spacing w:val="-2"/>
          <w:kern w:val="0"/>
        </w:rPr>
      </w:pPr>
      <w:r>
        <w:rPr>
          <w:rFonts w:ascii="標楷體" w:eastAsia="標楷體" w:hAnsi="標楷體" w:cs="新細明體" w:hint="eastAsia"/>
          <w:bCs/>
          <w:kern w:val="0"/>
        </w:rPr>
        <w:t>基本上改制校務基金後，學校與財務有關人員應徹底揚棄傳統的預算觀念，財務支出除基於教學研究等之需要外，並仍須考量財務狀況及成本效益因素，積極</w:t>
      </w:r>
      <w:proofErr w:type="gramStart"/>
      <w:r>
        <w:rPr>
          <w:rFonts w:ascii="標楷體" w:eastAsia="標楷體" w:hAnsi="標楷體" w:cs="新細明體" w:hint="eastAsia"/>
          <w:bCs/>
          <w:kern w:val="0"/>
        </w:rPr>
        <w:t>研</w:t>
      </w:r>
      <w:proofErr w:type="gramEnd"/>
      <w:r>
        <w:rPr>
          <w:rFonts w:ascii="標楷體" w:eastAsia="標楷體" w:hAnsi="標楷體" w:cs="新細明體" w:hint="eastAsia"/>
          <w:bCs/>
          <w:kern w:val="0"/>
        </w:rPr>
        <w:t>訂校務運作規章，提昇行政效率。</w:t>
      </w:r>
    </w:p>
    <w:p w:rsidR="008A319C" w:rsidRDefault="008A319C">
      <w:pPr>
        <w:widowControl/>
        <w:numPr>
          <w:ilvl w:val="0"/>
          <w:numId w:val="10"/>
        </w:numPr>
        <w:tabs>
          <w:tab w:val="clear" w:pos="360"/>
          <w:tab w:val="num" w:pos="540"/>
        </w:tabs>
        <w:spacing w:line="400" w:lineRule="exact"/>
        <w:ind w:left="540" w:hanging="540"/>
        <w:jc w:val="both"/>
        <w:rPr>
          <w:rFonts w:ascii="標楷體" w:eastAsia="標楷體" w:hAnsi="標楷體" w:cs="新細明體"/>
          <w:bCs/>
          <w:spacing w:val="-2"/>
          <w:kern w:val="0"/>
        </w:rPr>
      </w:pPr>
      <w:r>
        <w:rPr>
          <w:rFonts w:ascii="標楷體" w:eastAsia="標楷體" w:hAnsi="標楷體" w:cs="新細明體" w:hint="eastAsia"/>
          <w:bCs/>
          <w:spacing w:val="-2"/>
          <w:kern w:val="0"/>
        </w:rPr>
        <w:t>國立大專院校改制校務基金，僅關係預算及財務制度之調整與變革，因國立學校係屬政府機關，</w:t>
      </w:r>
      <w:r>
        <w:rPr>
          <w:rFonts w:ascii="標楷體" w:eastAsia="標楷體" w:hAnsi="標楷體" w:cs="新細明體"/>
          <w:bCs/>
          <w:spacing w:val="-2"/>
          <w:kern w:val="0"/>
        </w:rPr>
        <w:t>校務基金有關年度預算編製及執行、決算編造，應依預算法、會計法、決算法、審計法及</w:t>
      </w:r>
      <w:r>
        <w:rPr>
          <w:rFonts w:ascii="標楷體" w:eastAsia="標楷體" w:hAnsi="標楷體" w:cs="新細明體"/>
          <w:bCs/>
          <w:spacing w:val="-2"/>
          <w:kern w:val="0"/>
        </w:rPr>
        <w:lastRenderedPageBreak/>
        <w:t>相關法令規定辦理。但捐贈收入、場地設備管理收入、推廣教育收入、建教合作收入及第七條之</w:t>
      </w:r>
      <w:proofErr w:type="gramStart"/>
      <w:r>
        <w:rPr>
          <w:rFonts w:ascii="標楷體" w:eastAsia="標楷體" w:hAnsi="標楷體" w:cs="新細明體"/>
          <w:bCs/>
          <w:spacing w:val="-2"/>
          <w:kern w:val="0"/>
        </w:rPr>
        <w:t>一</w:t>
      </w:r>
      <w:proofErr w:type="gramEnd"/>
      <w:r>
        <w:rPr>
          <w:rFonts w:ascii="標楷體" w:eastAsia="標楷體" w:hAnsi="標楷體" w:cs="新細明體"/>
          <w:bCs/>
          <w:spacing w:val="-2"/>
          <w:kern w:val="0"/>
        </w:rPr>
        <w:t>投資取得之有關收益不在此限，惟應由各校自行訂定收支管理辦法，並受教育部之監督。</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jc w:val="both"/>
        <w:rPr>
          <w:rFonts w:ascii="標楷體" w:eastAsia="標楷體" w:hAnsi="標楷體" w:cs="新細明體"/>
          <w:b/>
          <w:kern w:val="0"/>
          <w:shd w:val="clear" w:color="auto" w:fill="FFFF99"/>
        </w:rPr>
      </w:pPr>
      <w:r>
        <w:rPr>
          <w:rFonts w:ascii="標楷體" w:eastAsia="標楷體" w:hAnsi="標楷體" w:cs="新細明體" w:hint="eastAsia"/>
          <w:b/>
          <w:kern w:val="0"/>
          <w:shd w:val="clear" w:color="auto" w:fill="FFFF99"/>
        </w:rPr>
        <w:t>一一問：何謂校務基金自籌經費？</w:t>
      </w:r>
    </w:p>
    <w:p w:rsidR="008A319C" w:rsidRDefault="008A319C">
      <w:pPr>
        <w:widowControl/>
        <w:spacing w:line="400" w:lineRule="exact"/>
        <w:ind w:left="540" w:hangingChars="225" w:hanging="540"/>
        <w:jc w:val="both"/>
        <w:rPr>
          <w:rFonts w:ascii="標楷體" w:eastAsia="標楷體" w:hAnsi="標楷體" w:cs="新細明體"/>
          <w:kern w:val="0"/>
        </w:rPr>
      </w:pPr>
      <w:r>
        <w:rPr>
          <w:rFonts w:ascii="標楷體" w:eastAsia="標楷體" w:hAnsi="標楷體" w:cs="新細明體" w:hint="eastAsia"/>
          <w:bCs/>
          <w:kern w:val="0"/>
        </w:rPr>
        <w:t> 答：</w:t>
      </w:r>
      <w:r>
        <w:rPr>
          <w:rFonts w:ascii="標楷體" w:eastAsia="標楷體" w:hAnsi="標楷體" w:cs="新細明體" w:hint="eastAsia"/>
          <w:bCs/>
          <w:kern w:val="0"/>
          <w:sz w:val="14"/>
        </w:rPr>
        <w:t xml:space="preserve"> </w:t>
      </w:r>
      <w:r>
        <w:rPr>
          <w:rFonts w:ascii="標楷體" w:eastAsia="標楷體" w:hAnsi="標楷體" w:cs="新細明體" w:hint="eastAsia"/>
          <w:bCs/>
          <w:kern w:val="0"/>
        </w:rPr>
        <w:t>校務基金自籌經費係指「國立大學校院校務基金設置條例」第六條第二款至第八款所列各項收入，包括：學雜費收入、推廣教育收入、建教合作收入、場地設備管理收入、捐贈收入、孳息收入及其他收入。</w:t>
      </w:r>
    </w:p>
    <w:p w:rsidR="008A319C" w:rsidRDefault="008A319C">
      <w:pPr>
        <w:widowControl/>
        <w:spacing w:line="400" w:lineRule="exact"/>
        <w:jc w:val="both"/>
        <w:rPr>
          <w:rFonts w:ascii="標楷體" w:eastAsia="標楷體" w:hAnsi="標楷體" w:cs="新細明體" w:hint="eastAsia"/>
          <w:bCs/>
          <w:kern w:val="0"/>
        </w:rPr>
      </w:pPr>
    </w:p>
    <w:p w:rsidR="008A319C" w:rsidRDefault="008A319C">
      <w:pPr>
        <w:widowControl/>
        <w:spacing w:line="400" w:lineRule="exact"/>
        <w:ind w:left="901" w:hangingChars="375" w:hanging="901"/>
        <w:jc w:val="both"/>
        <w:rPr>
          <w:rFonts w:ascii="標楷體" w:eastAsia="標楷體" w:hAnsi="標楷體" w:cs="新細明體" w:hint="eastAsia"/>
          <w:b/>
          <w:color w:val="333399"/>
          <w:kern w:val="0"/>
          <w:shd w:val="clear" w:color="auto" w:fill="FFFF99"/>
        </w:rPr>
      </w:pPr>
      <w:r>
        <w:rPr>
          <w:rFonts w:ascii="標楷體" w:eastAsia="標楷體" w:hAnsi="標楷體" w:cs="新細明體" w:hint="eastAsia"/>
          <w:b/>
          <w:color w:val="333399"/>
          <w:kern w:val="0"/>
          <w:shd w:val="clear" w:color="auto" w:fill="FFFF99"/>
        </w:rPr>
        <w:t>一二問：何謂5項自籌收入？學校自訂之收支管理規定是否要報教育部備查？其收支管理規定應包括那些事項？</w:t>
      </w:r>
    </w:p>
    <w:p w:rsidR="008A319C" w:rsidRDefault="008A319C">
      <w:pPr>
        <w:widowControl/>
        <w:spacing w:line="400" w:lineRule="exact"/>
        <w:ind w:left="540" w:hanging="540"/>
        <w:jc w:val="both"/>
        <w:rPr>
          <w:rFonts w:ascii="標楷體" w:eastAsia="標楷體" w:hAnsi="標楷體" w:cs="新細明體" w:hint="eastAsia"/>
          <w:bCs/>
          <w:kern w:val="0"/>
          <w:sz w:val="10"/>
        </w:rPr>
      </w:pPr>
      <w:r>
        <w:rPr>
          <w:rFonts w:ascii="標楷體" w:eastAsia="標楷體" w:hAnsi="標楷體" w:cs="新細明體" w:hint="eastAsia"/>
          <w:bCs/>
          <w:kern w:val="0"/>
        </w:rPr>
        <w:t>答：</w:t>
      </w:r>
      <w:r>
        <w:rPr>
          <w:rFonts w:ascii="標楷體" w:eastAsia="標楷體" w:hAnsi="標楷體" w:cs="新細明體" w:hint="eastAsia"/>
          <w:bCs/>
          <w:kern w:val="0"/>
          <w:sz w:val="10"/>
        </w:rPr>
        <w:t xml:space="preserve"> </w:t>
      </w:r>
    </w:p>
    <w:p w:rsidR="008A319C" w:rsidRDefault="008A319C">
      <w:pPr>
        <w:widowControl/>
        <w:numPr>
          <w:ilvl w:val="1"/>
          <w:numId w:val="13"/>
        </w:numPr>
        <w:tabs>
          <w:tab w:val="clear" w:pos="960"/>
          <w:tab w:val="num" w:pos="540"/>
          <w:tab w:val="left" w:pos="1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jc w:val="both"/>
        <w:rPr>
          <w:rFonts w:ascii="標楷體" w:eastAsia="標楷體" w:hAnsi="標楷體" w:cs="細明體" w:hint="eastAsia"/>
          <w:color w:val="000000"/>
          <w:kern w:val="0"/>
        </w:rPr>
      </w:pPr>
      <w:r>
        <w:rPr>
          <w:rFonts w:ascii="標楷體" w:eastAsia="標楷體" w:hAnsi="標楷體" w:hint="eastAsia"/>
          <w:color w:val="000000"/>
        </w:rPr>
        <w:t>校務基金5項自籌收入係指</w:t>
      </w:r>
      <w:r>
        <w:rPr>
          <w:rFonts w:ascii="標楷體" w:eastAsia="標楷體" w:hAnsi="標楷體" w:cs="新細明體" w:hint="eastAsia"/>
          <w:bCs/>
          <w:kern w:val="0"/>
        </w:rPr>
        <w:t>「國立大學校院校務基金設置條例」第十條但書規定不受預算法、</w:t>
      </w:r>
      <w:r>
        <w:rPr>
          <w:rFonts w:ascii="標楷體" w:eastAsia="標楷體" w:hAnsi="標楷體" w:cs="新細明體"/>
          <w:bCs/>
          <w:spacing w:val="-2"/>
          <w:kern w:val="0"/>
        </w:rPr>
        <w:t>會計法、決算法</w:t>
      </w:r>
      <w:r>
        <w:rPr>
          <w:rFonts w:ascii="標楷體" w:eastAsia="標楷體" w:hAnsi="標楷體" w:cs="新細明體" w:hint="eastAsia"/>
          <w:bCs/>
          <w:spacing w:val="-2"/>
          <w:kern w:val="0"/>
        </w:rPr>
        <w:t>及</w:t>
      </w:r>
      <w:r>
        <w:rPr>
          <w:rFonts w:ascii="標楷體" w:eastAsia="標楷體" w:hAnsi="標楷體" w:cs="新細明體"/>
          <w:bCs/>
          <w:spacing w:val="-2"/>
          <w:kern w:val="0"/>
        </w:rPr>
        <w:t>審計法</w:t>
      </w:r>
      <w:r>
        <w:rPr>
          <w:rFonts w:ascii="標楷體" w:eastAsia="標楷體" w:hAnsi="標楷體" w:cs="新細明體" w:hint="eastAsia"/>
          <w:bCs/>
          <w:spacing w:val="-2"/>
          <w:kern w:val="0"/>
        </w:rPr>
        <w:t>所限之</w:t>
      </w:r>
      <w:r>
        <w:rPr>
          <w:rFonts w:ascii="標楷體" w:eastAsia="標楷體" w:hAnsi="標楷體" w:cs="細明體"/>
          <w:color w:val="000000"/>
          <w:kern w:val="0"/>
        </w:rPr>
        <w:t>捐贈收入、場地設備管理收入、推廣教育收入、建教合作收入及投資取得收益</w:t>
      </w:r>
      <w:r>
        <w:rPr>
          <w:rFonts w:ascii="標楷體" w:eastAsia="標楷體" w:hAnsi="標楷體" w:cs="細明體" w:hint="eastAsia"/>
          <w:color w:val="000000"/>
          <w:kern w:val="0"/>
        </w:rPr>
        <w:t>。</w:t>
      </w:r>
    </w:p>
    <w:p w:rsidR="008A319C" w:rsidRDefault="008A319C">
      <w:pPr>
        <w:widowControl/>
        <w:numPr>
          <w:ilvl w:val="1"/>
          <w:numId w:val="13"/>
        </w:numPr>
        <w:tabs>
          <w:tab w:val="clear" w:pos="960"/>
          <w:tab w:val="num" w:pos="540"/>
          <w:tab w:val="left" w:pos="1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color w:val="000000"/>
          <w:kern w:val="0"/>
        </w:rPr>
        <w:t>各校應依</w:t>
      </w:r>
      <w:r>
        <w:rPr>
          <w:rFonts w:ascii="標楷體" w:eastAsia="標楷體" w:hAnsi="標楷體" w:cs="新細明體" w:hint="eastAsia"/>
          <w:bCs/>
          <w:kern w:val="0"/>
        </w:rPr>
        <w:t>「國立大學校院校務基金設置條例」</w:t>
      </w:r>
      <w:r>
        <w:rPr>
          <w:rFonts w:ascii="標楷體" w:eastAsia="標楷體" w:hAnsi="標楷體" w:cs="細明體"/>
          <w:color w:val="000000"/>
          <w:kern w:val="0"/>
        </w:rPr>
        <w:t>第十條但書規定訂定捐贈收入、場地設備管理收入、推廣教育收入、建教合作收入及投資取得收益之收支管理規定後，提報管理委員會審議通過後，報教育部備查。</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細明體" w:hint="eastAsia"/>
          <w:color w:val="000000"/>
          <w:kern w:val="0"/>
        </w:rPr>
      </w:pPr>
      <w:r>
        <w:rPr>
          <w:rFonts w:ascii="標楷體" w:eastAsia="標楷體" w:hAnsi="標楷體" w:cs="細明體"/>
          <w:color w:val="000000"/>
          <w:kern w:val="0"/>
        </w:rPr>
        <w:t>前項收入之範圍如下：</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細明體" w:hint="eastAsia"/>
          <w:color w:val="000000"/>
          <w:kern w:val="0"/>
        </w:rPr>
      </w:pPr>
      <w:r>
        <w:rPr>
          <w:rFonts w:ascii="標楷體" w:eastAsia="標楷體" w:hAnsi="標楷體" w:cs="細明體" w:hint="eastAsia"/>
          <w:color w:val="000000"/>
          <w:kern w:val="0"/>
        </w:rPr>
        <w:t>（一）</w:t>
      </w:r>
      <w:r>
        <w:rPr>
          <w:rFonts w:ascii="標楷體" w:eastAsia="標楷體" w:hAnsi="標楷體" w:cs="細明體"/>
          <w:color w:val="000000"/>
          <w:kern w:val="0"/>
        </w:rPr>
        <w:t>捐贈收入：各校無償收受動產、不動產及其他一切有財產價值之權利或債務之減少。</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細明體" w:hint="eastAsia"/>
          <w:color w:val="000000"/>
          <w:kern w:val="0"/>
        </w:rPr>
      </w:pPr>
      <w:r>
        <w:rPr>
          <w:rFonts w:ascii="標楷體" w:eastAsia="標楷體" w:hAnsi="標楷體" w:cs="細明體" w:hint="eastAsia"/>
          <w:color w:val="000000"/>
          <w:kern w:val="0"/>
        </w:rPr>
        <w:t>（二）</w:t>
      </w:r>
      <w:r>
        <w:rPr>
          <w:rFonts w:ascii="標楷體" w:eastAsia="標楷體" w:hAnsi="標楷體" w:cs="細明體"/>
          <w:color w:val="000000"/>
          <w:kern w:val="0"/>
        </w:rPr>
        <w:t>場地設備管理收入：各校提供場所及設施等，所收取之收入。</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1260" w:hangingChars="300" w:hanging="720"/>
        <w:jc w:val="both"/>
        <w:rPr>
          <w:rFonts w:ascii="標楷體" w:eastAsia="標楷體" w:hAnsi="標楷體" w:cs="細明體" w:hint="eastAsia"/>
          <w:color w:val="000000"/>
          <w:kern w:val="0"/>
        </w:rPr>
      </w:pPr>
      <w:r>
        <w:rPr>
          <w:rFonts w:ascii="標楷體" w:eastAsia="標楷體" w:hAnsi="標楷體" w:cs="細明體" w:hint="eastAsia"/>
          <w:color w:val="000000"/>
          <w:kern w:val="0"/>
        </w:rPr>
        <w:t>（三）</w:t>
      </w:r>
      <w:r>
        <w:rPr>
          <w:rFonts w:ascii="標楷體" w:eastAsia="標楷體" w:hAnsi="標楷體" w:cs="細明體"/>
          <w:color w:val="000000"/>
          <w:kern w:val="0"/>
        </w:rPr>
        <w:t>推廣教育收入：各校依大學推廣教育實施辦法之規定辦理推廣教育及研習、訓練等班次所收取之收入。</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1260" w:hangingChars="300" w:hanging="720"/>
        <w:jc w:val="both"/>
        <w:rPr>
          <w:rFonts w:ascii="標楷體" w:eastAsia="標楷體" w:hAnsi="標楷體" w:cs="細明體" w:hint="eastAsia"/>
          <w:color w:val="000000"/>
          <w:kern w:val="0"/>
        </w:rPr>
      </w:pPr>
      <w:r>
        <w:rPr>
          <w:rFonts w:ascii="標楷體" w:eastAsia="標楷體" w:hAnsi="標楷體" w:cs="細明體" w:hint="eastAsia"/>
          <w:color w:val="000000"/>
          <w:kern w:val="0"/>
        </w:rPr>
        <w:t>（四）</w:t>
      </w:r>
      <w:r>
        <w:rPr>
          <w:rFonts w:ascii="標楷體" w:eastAsia="標楷體" w:hAnsi="標楷體" w:cs="細明體"/>
          <w:color w:val="000000"/>
          <w:kern w:val="0"/>
        </w:rPr>
        <w:t>建教合作收入：各學校為外界提供訓練、研究及設計等服務所獲得之收入。</w:t>
      </w:r>
    </w:p>
    <w:p w:rsidR="008A319C" w:rsidRDefault="008A319C">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1260" w:hangingChars="300" w:hanging="720"/>
        <w:jc w:val="both"/>
        <w:rPr>
          <w:rFonts w:ascii="標楷體" w:eastAsia="標楷體" w:hAnsi="標楷體" w:cs="細明體" w:hint="eastAsia"/>
          <w:color w:val="000000"/>
          <w:kern w:val="0"/>
        </w:rPr>
      </w:pPr>
      <w:r>
        <w:rPr>
          <w:rFonts w:ascii="標楷體" w:eastAsia="標楷體" w:hAnsi="標楷體" w:cs="細明體" w:hint="eastAsia"/>
          <w:color w:val="000000"/>
          <w:kern w:val="0"/>
        </w:rPr>
        <w:t>（五）</w:t>
      </w:r>
      <w:r>
        <w:rPr>
          <w:rFonts w:ascii="標楷體" w:eastAsia="標楷體" w:hAnsi="標楷體" w:cs="細明體"/>
          <w:color w:val="000000"/>
          <w:kern w:val="0"/>
        </w:rPr>
        <w:t>投資取得之收益：各校依</w:t>
      </w:r>
      <w:r>
        <w:rPr>
          <w:rFonts w:ascii="標楷體" w:eastAsia="標楷體" w:hAnsi="標楷體" w:cs="新細明體" w:hint="eastAsia"/>
          <w:bCs/>
          <w:kern w:val="0"/>
        </w:rPr>
        <w:t>「國立大學校院校務基金設置條例」</w:t>
      </w:r>
      <w:r>
        <w:rPr>
          <w:rFonts w:ascii="標楷體" w:eastAsia="標楷體" w:hAnsi="標楷體" w:cs="細明體"/>
          <w:color w:val="000000"/>
          <w:kern w:val="0"/>
        </w:rPr>
        <w:t>第七條之一規定所投資取得之有關收益。</w:t>
      </w:r>
    </w:p>
    <w:p w:rsidR="008A319C" w:rsidRDefault="008A319C">
      <w:pPr>
        <w:widowControl/>
        <w:numPr>
          <w:ilvl w:val="1"/>
          <w:numId w:val="13"/>
        </w:numPr>
        <w:tabs>
          <w:tab w:val="clear" w:pos="960"/>
          <w:tab w:val="num" w:pos="540"/>
          <w:tab w:val="left" w:pos="1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hint="eastAsia"/>
          <w:color w:val="000000"/>
          <w:kern w:val="0"/>
        </w:rPr>
        <w:t>「</w:t>
      </w:r>
      <w:r>
        <w:rPr>
          <w:rFonts w:ascii="標楷體" w:eastAsia="標楷體" w:hAnsi="標楷體" w:cs="細明體"/>
          <w:color w:val="000000"/>
          <w:kern w:val="0"/>
        </w:rPr>
        <w:t>國立</w:t>
      </w:r>
      <w:r>
        <w:rPr>
          <w:rFonts w:ascii="標楷體" w:eastAsia="標楷體" w:hAnsi="標楷體" w:cs="細明體"/>
          <w:color w:val="000000"/>
          <w:kern w:val="0"/>
        </w:rPr>
        <w:t>大</w:t>
      </w:r>
      <w:r>
        <w:rPr>
          <w:rFonts w:ascii="標楷體" w:eastAsia="標楷體" w:hAnsi="標楷體" w:cs="細明體"/>
          <w:color w:val="000000"/>
          <w:kern w:val="0"/>
        </w:rPr>
        <w:t>學校院校務基金管理及監督辦法</w:t>
      </w:r>
      <w:r>
        <w:rPr>
          <w:rFonts w:ascii="標楷體" w:eastAsia="標楷體" w:hAnsi="標楷體" w:cs="新細明體" w:hint="eastAsia"/>
          <w:bCs/>
          <w:kern w:val="0"/>
        </w:rPr>
        <w:t>」</w:t>
      </w:r>
      <w:r>
        <w:rPr>
          <w:rFonts w:ascii="標楷體" w:eastAsia="標楷體" w:hAnsi="標楷體" w:cs="細明體"/>
          <w:color w:val="000000"/>
          <w:kern w:val="0"/>
        </w:rPr>
        <w:t>第</w:t>
      </w:r>
      <w:r>
        <w:rPr>
          <w:rFonts w:ascii="標楷體" w:eastAsia="標楷體" w:hAnsi="標楷體" w:cs="細明體" w:hint="eastAsia"/>
          <w:color w:val="000000"/>
          <w:kern w:val="0"/>
        </w:rPr>
        <w:t>七</w:t>
      </w:r>
      <w:r>
        <w:rPr>
          <w:rFonts w:ascii="標楷體" w:eastAsia="標楷體" w:hAnsi="標楷體" w:cs="細明體"/>
          <w:color w:val="000000"/>
          <w:kern w:val="0"/>
        </w:rPr>
        <w:t>條第一項收支管理規定，應包括下列事項：</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編制內教師本薪 (年功薪)、加給以外之給與及編制外人員之</w:t>
      </w:r>
      <w:r>
        <w:rPr>
          <w:rFonts w:ascii="標楷體" w:eastAsia="標楷體" w:hAnsi="標楷體" w:cs="細明體" w:hint="eastAsia"/>
          <w:color w:val="000000"/>
          <w:kern w:val="0"/>
        </w:rPr>
        <w:t>人事費支應原則</w:t>
      </w:r>
      <w:r>
        <w:rPr>
          <w:rFonts w:ascii="標楷體" w:eastAsia="標楷體" w:hAnsi="標楷體" w:cs="細明體"/>
          <w:color w:val="000000"/>
          <w:kern w:val="0"/>
        </w:rPr>
        <w:t>。</w:t>
      </w:r>
    </w:p>
    <w:p w:rsidR="008A319C" w:rsidRDefault="008A319C">
      <w:pPr>
        <w:widowControl/>
        <w:numPr>
          <w:ilvl w:val="2"/>
          <w:numId w:val="13"/>
        </w:numPr>
        <w:tabs>
          <w:tab w:val="clear" w:pos="1680"/>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60"/>
        <w:jc w:val="both"/>
        <w:rPr>
          <w:rFonts w:ascii="標楷體" w:eastAsia="標楷體" w:hAnsi="標楷體" w:cs="細明體" w:hint="eastAsia"/>
          <w:color w:val="000000"/>
          <w:kern w:val="0"/>
        </w:rPr>
      </w:pPr>
      <w:r>
        <w:rPr>
          <w:rFonts w:ascii="標楷體" w:eastAsia="標楷體" w:hAnsi="標楷體" w:cs="細明體" w:hint="eastAsia"/>
          <w:color w:val="000000"/>
          <w:kern w:val="0"/>
        </w:rPr>
        <w:t>辦理</w:t>
      </w:r>
      <w:r>
        <w:rPr>
          <w:rFonts w:ascii="標楷體" w:eastAsia="標楷體" w:hAnsi="標楷體" w:cs="新細明體" w:hint="eastAsia"/>
          <w:bCs/>
          <w:kern w:val="0"/>
        </w:rPr>
        <w:t>「</w:t>
      </w:r>
      <w:r>
        <w:rPr>
          <w:rFonts w:ascii="標楷體" w:eastAsia="標楷體" w:hAnsi="標楷體" w:cs="細明體"/>
          <w:color w:val="000000"/>
          <w:kern w:val="0"/>
        </w:rPr>
        <w:t>國立大學校院校務基金管理及監督辦法</w:t>
      </w:r>
      <w:r>
        <w:rPr>
          <w:rFonts w:ascii="標楷體" w:eastAsia="標楷體" w:hAnsi="標楷體" w:cs="新細明體" w:hint="eastAsia"/>
          <w:bCs/>
          <w:kern w:val="0"/>
        </w:rPr>
        <w:t>」</w:t>
      </w:r>
      <w:r>
        <w:rPr>
          <w:rFonts w:ascii="標楷體" w:eastAsia="標楷體" w:hAnsi="標楷體" w:cs="細明體"/>
          <w:color w:val="000000"/>
          <w:kern w:val="0"/>
        </w:rPr>
        <w:t>第</w:t>
      </w:r>
      <w:r>
        <w:rPr>
          <w:rFonts w:ascii="標楷體" w:eastAsia="標楷體" w:hAnsi="標楷體" w:cs="細明體" w:hint="eastAsia"/>
          <w:color w:val="000000"/>
          <w:kern w:val="0"/>
        </w:rPr>
        <w:t>七</w:t>
      </w:r>
      <w:r>
        <w:rPr>
          <w:rFonts w:ascii="標楷體" w:eastAsia="標楷體" w:hAnsi="標楷體" w:cs="細明體"/>
          <w:color w:val="000000"/>
          <w:kern w:val="0"/>
        </w:rPr>
        <w:t>條</w:t>
      </w:r>
      <w:r>
        <w:rPr>
          <w:rFonts w:ascii="標楷體" w:eastAsia="標楷體" w:hAnsi="標楷體" w:cs="細明體" w:hint="eastAsia"/>
          <w:color w:val="000000"/>
          <w:kern w:val="0"/>
        </w:rPr>
        <w:t>第二項自籌收入業務有績效之行政人員工作酬勞支應原則。</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講座經費支應原則。</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教師教學及學術研究獎勵支應原則。</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出國旅費支應原則。</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公務車輛之增購、</w:t>
      </w:r>
      <w:proofErr w:type="gramStart"/>
      <w:r>
        <w:rPr>
          <w:rFonts w:ascii="標楷體" w:eastAsia="標楷體" w:hAnsi="標楷體" w:cs="細明體"/>
          <w:color w:val="000000"/>
          <w:kern w:val="0"/>
        </w:rPr>
        <w:t>汰</w:t>
      </w:r>
      <w:proofErr w:type="gramEnd"/>
      <w:r>
        <w:rPr>
          <w:rFonts w:ascii="標楷體" w:eastAsia="標楷體" w:hAnsi="標楷體" w:cs="細明體"/>
          <w:color w:val="000000"/>
          <w:kern w:val="0"/>
        </w:rPr>
        <w:t>換及全時租賃</w:t>
      </w:r>
      <w:r>
        <w:rPr>
          <w:rFonts w:ascii="標楷體" w:eastAsia="標楷體" w:hAnsi="標楷體" w:cs="細明體" w:hint="eastAsia"/>
          <w:color w:val="000000"/>
          <w:kern w:val="0"/>
        </w:rPr>
        <w:t>支應原則</w:t>
      </w:r>
      <w:r>
        <w:rPr>
          <w:rFonts w:ascii="標楷體" w:eastAsia="標楷體" w:hAnsi="標楷體" w:cs="細明體"/>
          <w:color w:val="000000"/>
          <w:kern w:val="0"/>
        </w:rPr>
        <w:t>。</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新興工程支應原則。</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因應自償性支出之舉借及其償還財源之控管機制。</w:t>
      </w:r>
    </w:p>
    <w:p w:rsidR="008A319C" w:rsidRDefault="008A319C">
      <w:pPr>
        <w:widowControl/>
        <w:numPr>
          <w:ilvl w:val="2"/>
          <w:numId w:val="13"/>
        </w:numPr>
        <w:tabs>
          <w:tab w:val="left" w:pos="916"/>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1140"/>
        <w:jc w:val="both"/>
        <w:rPr>
          <w:rFonts w:ascii="標楷體" w:eastAsia="標楷體" w:hAnsi="標楷體" w:cs="細明體" w:hint="eastAsia"/>
          <w:color w:val="000000"/>
          <w:kern w:val="0"/>
        </w:rPr>
      </w:pPr>
      <w:r>
        <w:rPr>
          <w:rFonts w:ascii="標楷體" w:eastAsia="標楷體" w:hAnsi="標楷體" w:cs="細明體"/>
          <w:color w:val="000000"/>
          <w:kern w:val="0"/>
        </w:rPr>
        <w:t>其他應規範經費之原則。</w:t>
      </w:r>
    </w:p>
    <w:p w:rsidR="008A319C" w:rsidRDefault="008A319C">
      <w:pPr>
        <w:widowControl/>
        <w:numPr>
          <w:ilvl w:val="1"/>
          <w:numId w:val="13"/>
        </w:numPr>
        <w:tabs>
          <w:tab w:val="clear" w:pos="960"/>
          <w:tab w:val="num" w:pos="540"/>
          <w:tab w:val="left" w:pos="1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jc w:val="both"/>
        <w:rPr>
          <w:rFonts w:ascii="標楷體" w:eastAsia="標楷體" w:hAnsi="標楷體" w:cs="新細明體" w:hint="eastAsia"/>
          <w:bCs/>
          <w:kern w:val="0"/>
        </w:rPr>
      </w:pPr>
      <w:r>
        <w:rPr>
          <w:rFonts w:ascii="標楷體" w:eastAsia="標楷體" w:hAnsi="標楷體" w:cs="新細明體"/>
          <w:bCs/>
          <w:kern w:val="0"/>
        </w:rPr>
        <w:lastRenderedPageBreak/>
        <w:t>學校得以</w:t>
      </w:r>
      <w:r>
        <w:rPr>
          <w:rFonts w:ascii="標楷體" w:eastAsia="標楷體" w:hAnsi="標楷體" w:cs="新細明體" w:hint="eastAsia"/>
          <w:bCs/>
          <w:kern w:val="0"/>
        </w:rPr>
        <w:t>「</w:t>
      </w:r>
      <w:r>
        <w:rPr>
          <w:rFonts w:ascii="標楷體" w:eastAsia="標楷體" w:hAnsi="標楷體" w:cs="細明體"/>
          <w:color w:val="000000"/>
          <w:kern w:val="0"/>
        </w:rPr>
        <w:t>國立大學校院校務基金管理及監督辦法</w:t>
      </w:r>
      <w:r>
        <w:rPr>
          <w:rFonts w:ascii="標楷體" w:eastAsia="標楷體" w:hAnsi="標楷體" w:cs="新細明體" w:hint="eastAsia"/>
          <w:bCs/>
          <w:kern w:val="0"/>
        </w:rPr>
        <w:t>」</w:t>
      </w:r>
      <w:r>
        <w:rPr>
          <w:rFonts w:ascii="標楷體" w:eastAsia="標楷體" w:hAnsi="標楷體" w:cs="新細明體"/>
          <w:bCs/>
          <w:kern w:val="0"/>
        </w:rPr>
        <w:t>第七條所定收入及學雜費收入，支應編制內教師本薪 (年功薪)、加給以外之給與及編制外人員人事費；</w:t>
      </w:r>
      <w:proofErr w:type="gramStart"/>
      <w:r>
        <w:rPr>
          <w:rFonts w:ascii="標楷體" w:eastAsia="標楷體" w:hAnsi="標楷體" w:cs="新細明體"/>
          <w:bCs/>
          <w:kern w:val="0"/>
        </w:rPr>
        <w:t>其支給</w:t>
      </w:r>
      <w:proofErr w:type="gramEnd"/>
      <w:r>
        <w:rPr>
          <w:rFonts w:ascii="標楷體" w:eastAsia="標楷體" w:hAnsi="標楷體" w:cs="新細明體"/>
          <w:bCs/>
          <w:kern w:val="0"/>
        </w:rPr>
        <w:t>基準，由學校定之。</w:t>
      </w:r>
    </w:p>
    <w:p w:rsidR="008A319C" w:rsidRDefault="008A319C">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細明體" w:hint="eastAsia"/>
          <w:color w:val="000000"/>
          <w:kern w:val="0"/>
        </w:rPr>
      </w:pPr>
      <w:r>
        <w:rPr>
          <w:rFonts w:ascii="標楷體" w:eastAsia="標楷體" w:hAnsi="標楷體" w:cs="細明體" w:hint="eastAsia"/>
          <w:color w:val="000000"/>
          <w:kern w:val="0"/>
        </w:rPr>
        <w:t>學校得以</w:t>
      </w:r>
      <w:r>
        <w:rPr>
          <w:rFonts w:ascii="標楷體" w:eastAsia="標楷體" w:hAnsi="標楷體" w:cs="新細明體" w:hint="eastAsia"/>
          <w:bCs/>
          <w:kern w:val="0"/>
        </w:rPr>
        <w:t>「</w:t>
      </w:r>
      <w:r>
        <w:rPr>
          <w:rFonts w:ascii="標楷體" w:eastAsia="標楷體" w:hAnsi="標楷體" w:cs="細明體"/>
          <w:color w:val="000000"/>
          <w:kern w:val="0"/>
        </w:rPr>
        <w:t>國立大學校院校務基金管理及監督辦法</w:t>
      </w:r>
      <w:r>
        <w:rPr>
          <w:rFonts w:ascii="標楷體" w:eastAsia="標楷體" w:hAnsi="標楷體" w:cs="新細明體" w:hint="eastAsia"/>
          <w:bCs/>
          <w:kern w:val="0"/>
        </w:rPr>
        <w:t>」</w:t>
      </w:r>
      <w:r>
        <w:rPr>
          <w:rFonts w:ascii="標楷體" w:eastAsia="標楷體" w:hAnsi="標楷體" w:cs="細明體" w:hint="eastAsia"/>
          <w:color w:val="000000"/>
          <w:kern w:val="0"/>
        </w:rPr>
        <w:t>第七條所定收入，支應辦理該收入業務有績效之行政人員工作酬勞。但每月給與總額以不超過其專業加給百分之六十為限；</w:t>
      </w:r>
      <w:proofErr w:type="gramStart"/>
      <w:r>
        <w:rPr>
          <w:rFonts w:ascii="標楷體" w:eastAsia="標楷體" w:hAnsi="標楷體" w:cs="細明體" w:hint="eastAsia"/>
          <w:color w:val="000000"/>
          <w:kern w:val="0"/>
        </w:rPr>
        <w:t>其支給</w:t>
      </w:r>
      <w:proofErr w:type="gramEnd"/>
      <w:r>
        <w:rPr>
          <w:rFonts w:ascii="標楷體" w:eastAsia="標楷體" w:hAnsi="標楷體" w:cs="細明體" w:hint="eastAsia"/>
          <w:color w:val="000000"/>
          <w:kern w:val="0"/>
        </w:rPr>
        <w:t>基準，由學校定之。</w:t>
      </w:r>
    </w:p>
    <w:p w:rsidR="008A319C" w:rsidRDefault="008A319C">
      <w:pPr>
        <w:widowControl/>
        <w:spacing w:line="400" w:lineRule="exact"/>
        <w:ind w:leftChars="225" w:left="540"/>
        <w:jc w:val="both"/>
        <w:rPr>
          <w:rFonts w:ascii="標楷體" w:eastAsia="標楷體" w:hAnsi="標楷體" w:cs="細明體" w:hint="eastAsia"/>
          <w:color w:val="000000"/>
          <w:kern w:val="0"/>
        </w:rPr>
      </w:pPr>
      <w:r>
        <w:rPr>
          <w:rFonts w:ascii="標楷體" w:eastAsia="標楷體" w:hAnsi="標楷體" w:cs="細明體"/>
          <w:color w:val="000000"/>
          <w:kern w:val="0"/>
        </w:rPr>
        <w:t>前</w:t>
      </w:r>
      <w:r>
        <w:rPr>
          <w:rFonts w:ascii="標楷體" w:eastAsia="標楷體" w:hAnsi="標楷體" w:cs="細明體" w:hint="eastAsia"/>
          <w:color w:val="000000"/>
          <w:kern w:val="0"/>
        </w:rPr>
        <w:t>二</w:t>
      </w:r>
      <w:r>
        <w:rPr>
          <w:rFonts w:ascii="標楷體" w:eastAsia="標楷體" w:hAnsi="標楷體" w:cs="細明體"/>
          <w:color w:val="000000"/>
          <w:kern w:val="0"/>
        </w:rPr>
        <w:t>項給與</w:t>
      </w:r>
      <w:r>
        <w:rPr>
          <w:rFonts w:ascii="標楷體" w:eastAsia="標楷體" w:hAnsi="標楷體" w:cs="細明體" w:hint="eastAsia"/>
          <w:color w:val="000000"/>
          <w:kern w:val="0"/>
        </w:rPr>
        <w:t>應在不造成學校虧損及國庫負擔之前提下支給，其</w:t>
      </w:r>
      <w:r>
        <w:rPr>
          <w:rFonts w:ascii="標楷體" w:eastAsia="標楷體" w:hAnsi="標楷體" w:cs="細明體"/>
          <w:color w:val="000000"/>
          <w:kern w:val="0"/>
        </w:rPr>
        <w:t>總額占</w:t>
      </w:r>
      <w:r>
        <w:rPr>
          <w:rFonts w:ascii="標楷體" w:eastAsia="標楷體" w:hAnsi="標楷體" w:cs="新細明體" w:hint="eastAsia"/>
          <w:bCs/>
          <w:kern w:val="0"/>
        </w:rPr>
        <w:t>「</w:t>
      </w:r>
      <w:r>
        <w:rPr>
          <w:rFonts w:ascii="標楷體" w:eastAsia="標楷體" w:hAnsi="標楷體" w:cs="細明體"/>
          <w:color w:val="000000"/>
          <w:kern w:val="0"/>
        </w:rPr>
        <w:t>國立大學校院校務基金管理及監督辦法</w:t>
      </w:r>
      <w:r>
        <w:rPr>
          <w:rFonts w:ascii="標楷體" w:eastAsia="標楷體" w:hAnsi="標楷體" w:cs="新細明體" w:hint="eastAsia"/>
          <w:bCs/>
          <w:kern w:val="0"/>
        </w:rPr>
        <w:t>」</w:t>
      </w:r>
      <w:r>
        <w:rPr>
          <w:rFonts w:ascii="標楷體" w:eastAsia="標楷體" w:hAnsi="標楷體" w:cs="細明體" w:hint="eastAsia"/>
          <w:color w:val="000000"/>
          <w:kern w:val="0"/>
        </w:rPr>
        <w:t>第七條所定收入及學雜費收入</w:t>
      </w:r>
      <w:r>
        <w:rPr>
          <w:rFonts w:ascii="標楷體" w:eastAsia="標楷體" w:hAnsi="標楷體" w:cs="細明體"/>
          <w:color w:val="000000"/>
          <w:kern w:val="0"/>
        </w:rPr>
        <w:t>之比率上限，由教育部擬訂，報行政院核定。</w:t>
      </w:r>
    </w:p>
    <w:p w:rsidR="008A319C" w:rsidRDefault="008A319C">
      <w:pPr>
        <w:widowControl/>
        <w:spacing w:line="400" w:lineRule="exact"/>
        <w:jc w:val="both"/>
        <w:rPr>
          <w:rFonts w:ascii="標楷體" w:eastAsia="標楷體" w:hAnsi="標楷體" w:cs="細明體" w:hint="eastAsia"/>
          <w:color w:val="000000"/>
          <w:kern w:val="0"/>
        </w:rPr>
      </w:pPr>
    </w:p>
    <w:p w:rsidR="008A319C" w:rsidRDefault="008A319C">
      <w:pPr>
        <w:widowControl/>
        <w:spacing w:line="400" w:lineRule="exact"/>
        <w:ind w:left="901" w:hangingChars="375" w:hanging="901"/>
        <w:jc w:val="both"/>
        <w:rPr>
          <w:rFonts w:ascii="標楷體" w:eastAsia="標楷體" w:hAnsi="標楷體" w:cs="細明體"/>
          <w:b/>
          <w:color w:val="333399"/>
          <w:kern w:val="0"/>
          <w:shd w:val="clear" w:color="auto" w:fill="FFFF99"/>
        </w:rPr>
      </w:pPr>
      <w:r>
        <w:rPr>
          <w:rFonts w:ascii="標楷體" w:eastAsia="標楷體" w:hAnsi="標楷體" w:cs="新細明體" w:hint="eastAsia"/>
          <w:b/>
          <w:color w:val="333399"/>
          <w:kern w:val="0"/>
          <w:shd w:val="clear" w:color="auto" w:fill="FFFF99"/>
        </w:rPr>
        <w:t>一三問：</w:t>
      </w:r>
      <w:r>
        <w:rPr>
          <w:rFonts w:ascii="標楷體" w:eastAsia="標楷體" w:hAnsi="標楷體" w:cs="細明體" w:hint="eastAsia"/>
          <w:b/>
          <w:color w:val="333399"/>
          <w:kern w:val="0"/>
          <w:shd w:val="clear" w:color="auto" w:fill="FFFF99"/>
        </w:rPr>
        <w:t>學校如何運用現有條件開源節流？</w:t>
      </w:r>
    </w:p>
    <w:p w:rsidR="008A319C" w:rsidRDefault="008A319C">
      <w:pPr>
        <w:widowControl/>
        <w:spacing w:line="400" w:lineRule="exact"/>
        <w:jc w:val="both"/>
        <w:rPr>
          <w:rFonts w:ascii="標楷體" w:eastAsia="標楷體" w:hAnsi="標楷體" w:cs="細明體" w:hint="eastAsia"/>
          <w:color w:val="000000"/>
          <w:kern w:val="0"/>
        </w:rPr>
      </w:pPr>
      <w:r>
        <w:rPr>
          <w:rFonts w:ascii="標楷體" w:eastAsia="標楷體" w:hAnsi="標楷體" w:cs="細明體" w:hint="eastAsia"/>
          <w:color w:val="000000"/>
          <w:kern w:val="0"/>
        </w:rPr>
        <w:t>答：</w:t>
      </w:r>
    </w:p>
    <w:p w:rsidR="008A319C" w:rsidRDefault="008A319C">
      <w:pPr>
        <w:widowControl/>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一、在開源方面，例如：</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（一）將學校之設備及場地充分利用，對外服務，如舉辦推廣教育、場地出借等。</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（二）隨時檢討現金流量，靈活調度經費，將閒置資金轉存定期存款，以增加利息收入。</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（三）向校友及社會各界募款。</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（四）爭取企業界之建教合作、技術服務等。</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（五）合理提高研究計畫管理費。</w:t>
      </w:r>
    </w:p>
    <w:p w:rsidR="008A319C" w:rsidRDefault="008A319C">
      <w:pPr>
        <w:widowControl/>
        <w:tabs>
          <w:tab w:val="num" w:pos="2041"/>
        </w:tabs>
        <w:spacing w:line="400" w:lineRule="exact"/>
        <w:ind w:firstLineChars="200" w:firstLine="480"/>
        <w:jc w:val="both"/>
        <w:rPr>
          <w:rFonts w:ascii="標楷體" w:eastAsia="標楷體" w:hAnsi="標楷體" w:cs="細明體"/>
          <w:color w:val="000000"/>
          <w:kern w:val="0"/>
        </w:rPr>
      </w:pPr>
      <w:r>
        <w:rPr>
          <w:rFonts w:ascii="標楷體" w:eastAsia="標楷體" w:hAnsi="標楷體" w:cs="細明體" w:hint="eastAsia"/>
          <w:color w:val="000000"/>
          <w:kern w:val="0"/>
        </w:rPr>
        <w:t>（六）各單位檢討現行各項收入，訂定合理收費標準。</w:t>
      </w:r>
    </w:p>
    <w:p w:rsidR="008A319C" w:rsidRDefault="008A319C">
      <w:pPr>
        <w:widowControl/>
        <w:tabs>
          <w:tab w:val="num" w:pos="1191"/>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二、在節流方面，例如：</w:t>
      </w:r>
    </w:p>
    <w:p w:rsidR="008A319C" w:rsidRDefault="008A319C">
      <w:pPr>
        <w:widowControl/>
        <w:tabs>
          <w:tab w:val="num" w:pos="2041"/>
        </w:tabs>
        <w:spacing w:line="400" w:lineRule="exact"/>
        <w:ind w:leftChars="200" w:left="1260" w:hangingChars="325" w:hanging="780"/>
        <w:jc w:val="both"/>
        <w:rPr>
          <w:rFonts w:ascii="標楷體" w:eastAsia="標楷體" w:hAnsi="標楷體" w:cs="細明體"/>
          <w:color w:val="000000"/>
          <w:kern w:val="0"/>
        </w:rPr>
      </w:pPr>
      <w:r>
        <w:rPr>
          <w:rFonts w:ascii="標楷體" w:eastAsia="標楷體" w:hAnsi="標楷體" w:cs="細明體" w:hint="eastAsia"/>
          <w:color w:val="000000"/>
          <w:kern w:val="0"/>
        </w:rPr>
        <w:t>（一）應由全校各單位分擔責任，作合理之內部資源分配（如電費、電話費額度），以杜絕浪費。</w:t>
      </w:r>
    </w:p>
    <w:p w:rsidR="008A319C" w:rsidRDefault="008A319C">
      <w:pPr>
        <w:widowControl/>
        <w:tabs>
          <w:tab w:val="num" w:pos="2041"/>
        </w:tabs>
        <w:spacing w:line="400" w:lineRule="exact"/>
        <w:ind w:firstLineChars="200" w:firstLine="480"/>
        <w:jc w:val="both"/>
        <w:rPr>
          <w:rFonts w:ascii="標楷體" w:eastAsia="標楷體" w:hAnsi="標楷體" w:cs="細明體"/>
          <w:color w:val="000000"/>
          <w:kern w:val="0"/>
        </w:rPr>
      </w:pPr>
      <w:r>
        <w:rPr>
          <w:rFonts w:ascii="標楷體" w:eastAsia="標楷體" w:hAnsi="標楷體" w:cs="細明體" w:hint="eastAsia"/>
          <w:color w:val="000000"/>
          <w:kern w:val="0"/>
        </w:rPr>
        <w:t>（二）訂定各單位賸餘款分配使用辦法，鼓勵節約，減少不必要之支出。</w:t>
      </w:r>
    </w:p>
    <w:p w:rsidR="008A319C" w:rsidRDefault="008A319C">
      <w:pPr>
        <w:widowControl/>
        <w:tabs>
          <w:tab w:val="num" w:pos="2041"/>
        </w:tabs>
        <w:spacing w:line="400" w:lineRule="exact"/>
        <w:ind w:firstLineChars="200" w:firstLine="480"/>
        <w:jc w:val="both"/>
        <w:rPr>
          <w:rFonts w:ascii="標楷體" w:eastAsia="標楷體" w:hAnsi="標楷體" w:cs="細明體"/>
          <w:color w:val="000000"/>
          <w:kern w:val="0"/>
        </w:rPr>
      </w:pPr>
      <w:r>
        <w:rPr>
          <w:rFonts w:ascii="標楷體" w:eastAsia="標楷體" w:hAnsi="標楷體" w:cs="細明體" w:hint="eastAsia"/>
          <w:color w:val="000000"/>
          <w:kern w:val="0"/>
        </w:rPr>
        <w:t>（三）對共同性物品，採集中採購，以節省經費。</w:t>
      </w:r>
    </w:p>
    <w:p w:rsidR="008A319C" w:rsidRDefault="008A319C">
      <w:pPr>
        <w:widowControl/>
        <w:tabs>
          <w:tab w:val="num" w:pos="2041"/>
        </w:tabs>
        <w:spacing w:line="400" w:lineRule="exact"/>
        <w:ind w:firstLineChars="200" w:firstLine="480"/>
        <w:jc w:val="both"/>
        <w:rPr>
          <w:rFonts w:ascii="標楷體" w:eastAsia="標楷體" w:hAnsi="標楷體" w:cs="細明體" w:hint="eastAsia"/>
          <w:color w:val="000000"/>
          <w:kern w:val="0"/>
        </w:rPr>
      </w:pPr>
      <w:r>
        <w:rPr>
          <w:rFonts w:ascii="標楷體" w:eastAsia="標楷體" w:hAnsi="標楷體" w:cs="細明體" w:hint="eastAsia"/>
          <w:color w:val="000000"/>
          <w:kern w:val="0"/>
        </w:rPr>
        <w:t>（四）定期作各項費用之差異分析，以減少不正常支出及浪費。</w:t>
      </w:r>
    </w:p>
    <w:p w:rsidR="008A319C" w:rsidRDefault="008A319C">
      <w:pPr>
        <w:widowControl/>
        <w:tabs>
          <w:tab w:val="num" w:pos="2041"/>
        </w:tabs>
        <w:spacing w:line="400" w:lineRule="exact"/>
        <w:ind w:firstLineChars="200" w:firstLine="480"/>
        <w:jc w:val="both"/>
        <w:rPr>
          <w:rFonts w:ascii="標楷體" w:eastAsia="標楷體" w:hAnsi="標楷體" w:cs="細明體"/>
          <w:color w:val="000000"/>
          <w:kern w:val="0"/>
        </w:rPr>
      </w:pPr>
      <w:r>
        <w:rPr>
          <w:rFonts w:ascii="標楷體" w:eastAsia="標楷體" w:hAnsi="標楷體" w:cs="細明體" w:hint="eastAsia"/>
          <w:color w:val="000000"/>
          <w:kern w:val="0"/>
        </w:rPr>
        <w:t>（五）各種重大支出應作成本效益分析後，再納入預算。</w:t>
      </w:r>
    </w:p>
    <w:p w:rsidR="008A319C" w:rsidRDefault="008A319C">
      <w:pPr>
        <w:widowControl/>
        <w:spacing w:line="400" w:lineRule="exact"/>
        <w:ind w:left="1215" w:hanging="1215"/>
        <w:jc w:val="both"/>
        <w:rPr>
          <w:rFonts w:ascii="標楷體" w:eastAsia="標楷體" w:hAnsi="標楷體" w:cs="細明體" w:hint="eastAsia"/>
          <w:color w:val="000000"/>
          <w:kern w:val="0"/>
        </w:rPr>
      </w:pPr>
    </w:p>
    <w:p w:rsidR="008A319C" w:rsidRDefault="008A319C">
      <w:pPr>
        <w:widowControl/>
        <w:spacing w:line="400" w:lineRule="exact"/>
        <w:ind w:left="1215" w:hanging="1215"/>
        <w:jc w:val="both"/>
        <w:rPr>
          <w:rFonts w:ascii="標楷體" w:eastAsia="標楷體" w:hAnsi="標楷體" w:cs="細明體"/>
          <w:b/>
          <w:bCs/>
          <w:color w:val="333399"/>
          <w:kern w:val="0"/>
          <w:shd w:val="clear" w:color="auto" w:fill="FFFF99"/>
        </w:rPr>
      </w:pPr>
      <w:r>
        <w:rPr>
          <w:rFonts w:ascii="標楷體" w:eastAsia="標楷體" w:hAnsi="標楷體" w:cs="細明體" w:hint="eastAsia"/>
          <w:b/>
          <w:bCs/>
          <w:color w:val="333399"/>
          <w:kern w:val="0"/>
          <w:shd w:val="clear" w:color="auto" w:fill="FFFF99"/>
        </w:rPr>
        <w:t>一四問：各學校之院、系（所）應如何有效配合推動校務基金制度？</w:t>
      </w:r>
    </w:p>
    <w:p w:rsidR="008A319C" w:rsidRDefault="008A319C">
      <w:pPr>
        <w:widowControl/>
        <w:spacing w:line="400" w:lineRule="exact"/>
        <w:ind w:left="1035" w:hanging="1035"/>
        <w:jc w:val="both"/>
        <w:rPr>
          <w:rFonts w:ascii="標楷體" w:eastAsia="標楷體" w:hAnsi="標楷體" w:cs="細明體" w:hint="eastAsia"/>
          <w:color w:val="000000"/>
          <w:kern w:val="0"/>
        </w:rPr>
      </w:pPr>
      <w:r>
        <w:rPr>
          <w:rFonts w:ascii="標楷體" w:eastAsia="標楷體" w:hAnsi="標楷體" w:cs="細明體" w:hint="eastAsia"/>
          <w:color w:val="000000"/>
          <w:kern w:val="0"/>
        </w:rPr>
        <w:t>答：</w:t>
      </w:r>
    </w:p>
    <w:p w:rsidR="008A319C" w:rsidRDefault="008A319C">
      <w:pPr>
        <w:widowControl/>
        <w:numPr>
          <w:ilvl w:val="3"/>
          <w:numId w:val="11"/>
        </w:numPr>
        <w:tabs>
          <w:tab w:val="clear" w:pos="1800"/>
          <w:tab w:val="num" w:pos="540"/>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hint="eastAsia"/>
          <w:color w:val="000000"/>
          <w:kern w:val="0"/>
        </w:rPr>
        <w:t>院系（所）對於增系增班或增設研究中心等，應有財務規劃，及未來如何維持之發展計畫，不符經濟規模者，除特殊考量外，應避免增設。</w:t>
      </w:r>
    </w:p>
    <w:p w:rsidR="008A319C" w:rsidRDefault="008A319C">
      <w:pPr>
        <w:widowControl/>
        <w:numPr>
          <w:ilvl w:val="3"/>
          <w:numId w:val="11"/>
        </w:numPr>
        <w:tabs>
          <w:tab w:val="clear" w:pos="1800"/>
          <w:tab w:val="num" w:pos="540"/>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hint="eastAsia"/>
          <w:color w:val="000000"/>
          <w:kern w:val="0"/>
        </w:rPr>
        <w:t>應遵守各系（所）開課學分數，開班之最低學生人數，每位教師應符合授課時數等規定。</w:t>
      </w:r>
    </w:p>
    <w:p w:rsidR="008A319C" w:rsidRDefault="008A319C">
      <w:pPr>
        <w:widowControl/>
        <w:numPr>
          <w:ilvl w:val="3"/>
          <w:numId w:val="11"/>
        </w:numPr>
        <w:tabs>
          <w:tab w:val="clear" w:pos="1800"/>
          <w:tab w:val="num" w:pos="540"/>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hint="eastAsia"/>
          <w:color w:val="000000"/>
          <w:kern w:val="0"/>
        </w:rPr>
        <w:t>在不影響教學品質下，加強對系友、企業人士募款，爭取企業界之建教合作、技術服務，開設訓練班、推廣班等。</w:t>
      </w:r>
    </w:p>
    <w:p w:rsidR="008A319C" w:rsidRDefault="008A319C">
      <w:pPr>
        <w:widowControl/>
        <w:numPr>
          <w:ilvl w:val="3"/>
          <w:numId w:val="11"/>
        </w:numPr>
        <w:tabs>
          <w:tab w:val="clear" w:pos="1800"/>
          <w:tab w:val="num" w:pos="540"/>
        </w:tabs>
        <w:spacing w:line="400" w:lineRule="exact"/>
        <w:ind w:left="540" w:hanging="540"/>
        <w:jc w:val="both"/>
        <w:rPr>
          <w:rFonts w:ascii="標楷體" w:eastAsia="標楷體" w:hAnsi="標楷體" w:cs="細明體" w:hint="eastAsia"/>
          <w:color w:val="000000"/>
          <w:kern w:val="0"/>
        </w:rPr>
      </w:pPr>
      <w:r>
        <w:rPr>
          <w:rFonts w:ascii="標楷體" w:eastAsia="標楷體" w:hAnsi="標楷體" w:cs="細明體" w:hint="eastAsia"/>
          <w:color w:val="000000"/>
          <w:kern w:val="0"/>
        </w:rPr>
        <w:t>運用現有資源，如儀器、設備、場地等，</w:t>
      </w:r>
      <w:proofErr w:type="gramStart"/>
      <w:r>
        <w:rPr>
          <w:rFonts w:ascii="標楷體" w:eastAsia="標楷體" w:hAnsi="標楷體" w:cs="細明體" w:hint="eastAsia"/>
          <w:color w:val="000000"/>
          <w:kern w:val="0"/>
        </w:rPr>
        <w:t>研</w:t>
      </w:r>
      <w:proofErr w:type="gramEnd"/>
      <w:r>
        <w:rPr>
          <w:rFonts w:ascii="標楷體" w:eastAsia="標楷體" w:hAnsi="標楷體" w:cs="細明體" w:hint="eastAsia"/>
          <w:color w:val="000000"/>
          <w:kern w:val="0"/>
        </w:rPr>
        <w:t>訂合理收費計價辦法。</w:t>
      </w:r>
    </w:p>
    <w:p w:rsidR="008A319C" w:rsidRDefault="008A319C">
      <w:pPr>
        <w:widowControl/>
        <w:spacing w:line="400" w:lineRule="exact"/>
        <w:jc w:val="both"/>
        <w:rPr>
          <w:rFonts w:ascii="標楷體" w:eastAsia="標楷體" w:hAnsi="標楷體" w:cs="新細明體" w:hint="eastAsia"/>
          <w:bCs/>
          <w:kern w:val="0"/>
        </w:rPr>
      </w:pPr>
    </w:p>
    <w:p w:rsidR="008A319C" w:rsidRDefault="008A319C">
      <w:pPr>
        <w:widowControl/>
        <w:spacing w:line="400" w:lineRule="exact"/>
        <w:ind w:left="1425" w:hanging="1425"/>
        <w:jc w:val="both"/>
        <w:rPr>
          <w:rFonts w:ascii="標楷體" w:eastAsia="標楷體" w:hAnsi="標楷體" w:cs="新細明體"/>
          <w:b/>
          <w:bCs/>
          <w:color w:val="333399"/>
          <w:kern w:val="0"/>
          <w:shd w:val="clear" w:color="auto" w:fill="FFFF99"/>
        </w:rPr>
      </w:pPr>
      <w:r>
        <w:rPr>
          <w:rFonts w:ascii="標楷體" w:eastAsia="標楷體" w:hAnsi="標楷體" w:cs="新細明體" w:hint="eastAsia"/>
          <w:b/>
          <w:bCs/>
          <w:color w:val="333399"/>
          <w:kern w:val="0"/>
          <w:shd w:val="clear" w:color="auto" w:fill="FFFF99"/>
        </w:rPr>
        <w:t>一五問：國立大學校院校務基金是否一定要設置管理委員會及經費稽核委員會</w:t>
      </w:r>
      <w:proofErr w:type="gramStart"/>
      <w:r>
        <w:rPr>
          <w:rFonts w:ascii="標楷體" w:eastAsia="標楷體" w:hAnsi="標楷體" w:cs="新細明體" w:hint="eastAsia"/>
          <w:b/>
          <w:bCs/>
          <w:color w:val="333399"/>
          <w:kern w:val="0"/>
          <w:shd w:val="clear" w:color="auto" w:fill="FFFF99"/>
        </w:rPr>
        <w:t>﹖</w:t>
      </w:r>
      <w:proofErr w:type="gramEnd"/>
      <w:r>
        <w:rPr>
          <w:rFonts w:ascii="標楷體" w:eastAsia="標楷體" w:hAnsi="標楷體" w:cs="新細明體" w:hint="eastAsia"/>
          <w:b/>
          <w:bCs/>
          <w:color w:val="333399"/>
          <w:kern w:val="0"/>
          <w:shd w:val="clear" w:color="auto" w:fill="FFFF99"/>
        </w:rPr>
        <w:t>又其組織為何</w:t>
      </w:r>
      <w:proofErr w:type="gramStart"/>
      <w:r>
        <w:rPr>
          <w:rFonts w:ascii="標楷體" w:eastAsia="標楷體" w:hAnsi="標楷體" w:cs="新細明體" w:hint="eastAsia"/>
          <w:b/>
          <w:bCs/>
          <w:color w:val="333399"/>
          <w:kern w:val="0"/>
          <w:shd w:val="clear" w:color="auto" w:fill="FFFF99"/>
        </w:rPr>
        <w:t>﹖</w:t>
      </w:r>
      <w:proofErr w:type="gramEnd"/>
    </w:p>
    <w:p w:rsidR="008A319C" w:rsidRDefault="008A319C">
      <w:pPr>
        <w:widowControl/>
        <w:tabs>
          <w:tab w:val="num" w:pos="1190"/>
        </w:tabs>
        <w:spacing w:line="400" w:lineRule="exact"/>
        <w:ind w:left="960" w:hanging="960"/>
        <w:jc w:val="both"/>
        <w:rPr>
          <w:rFonts w:ascii="標楷體" w:eastAsia="標楷體" w:hAnsi="標楷體" w:cs="新細明體" w:hint="eastAsia"/>
          <w:kern w:val="0"/>
        </w:rPr>
      </w:pPr>
      <w:r>
        <w:rPr>
          <w:rFonts w:ascii="標楷體" w:eastAsia="標楷體" w:hAnsi="標楷體" w:cs="新細明體" w:hint="eastAsia"/>
          <w:kern w:val="0"/>
        </w:rPr>
        <w:lastRenderedPageBreak/>
        <w:t>答：</w:t>
      </w:r>
    </w:p>
    <w:p w:rsidR="008A319C" w:rsidRDefault="008A319C">
      <w:pPr>
        <w:widowControl/>
        <w:numPr>
          <w:ilvl w:val="0"/>
          <w:numId w:val="17"/>
        </w:numPr>
        <w:tabs>
          <w:tab w:val="clear" w:pos="360"/>
          <w:tab w:val="num" w:pos="540"/>
        </w:tabs>
        <w:spacing w:line="400" w:lineRule="exact"/>
        <w:ind w:left="540" w:hanging="540"/>
        <w:jc w:val="both"/>
        <w:rPr>
          <w:rFonts w:ascii="標楷體" w:eastAsia="標楷體" w:hAnsi="標楷體" w:cs="新細明體" w:hint="eastAsia"/>
          <w:kern w:val="0"/>
        </w:rPr>
      </w:pPr>
      <w:r>
        <w:rPr>
          <w:rFonts w:ascii="標楷體" w:eastAsia="標楷體" w:hAnsi="標楷體" w:cs="新細明體" w:hint="eastAsia"/>
          <w:kern w:val="0"/>
        </w:rPr>
        <w:t>依據國立大學校院校務基金設置條例規定，國立大學校院校務基金之收支、保管及運用應設置管理委員會管理，由校務會議下所設置之經費稽核委員會監督。</w:t>
      </w:r>
    </w:p>
    <w:p w:rsidR="008A319C" w:rsidRDefault="008A319C">
      <w:pPr>
        <w:widowControl/>
        <w:numPr>
          <w:ilvl w:val="0"/>
          <w:numId w:val="17"/>
        </w:numPr>
        <w:tabs>
          <w:tab w:val="clear" w:pos="360"/>
          <w:tab w:val="num" w:pos="540"/>
        </w:tabs>
        <w:spacing w:line="400" w:lineRule="exact"/>
        <w:ind w:left="540" w:hanging="540"/>
        <w:jc w:val="both"/>
        <w:rPr>
          <w:rFonts w:ascii="標楷體" w:eastAsia="標楷體" w:hAnsi="標楷體" w:cs="新細明體"/>
          <w:kern w:val="0"/>
        </w:rPr>
      </w:pPr>
      <w:r>
        <w:rPr>
          <w:rFonts w:ascii="標楷體" w:eastAsia="標楷體" w:hAnsi="標楷體" w:cs="新細明體" w:hint="eastAsia"/>
          <w:kern w:val="0"/>
        </w:rPr>
        <w:t>管理委員會置委員七至十五人，由校長任召集人，其中不兼行政職務之教師代表不得少於三分之一，必要時得聘請校外專業人士參與。委員任期兩年，由校長遴選提經校務會議同意後聘任之；經費稽核委員會置委員七至十五人，由校務會議成員中推舉產生。但其成員不得與校務基金管理委員會之成員重疊。掌理學校總務及會計相關人員不得擔任經費稽核委員會之委員。</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ind w:left="1425" w:hanging="1425"/>
        <w:jc w:val="both"/>
        <w:rPr>
          <w:rFonts w:ascii="標楷體" w:eastAsia="標楷體" w:hAnsi="標楷體" w:cs="新細明體"/>
          <w:b/>
          <w:bCs/>
          <w:color w:val="333399"/>
          <w:kern w:val="0"/>
          <w:shd w:val="clear" w:color="auto" w:fill="FFFF99"/>
        </w:rPr>
      </w:pPr>
      <w:r>
        <w:rPr>
          <w:rFonts w:ascii="標楷體" w:eastAsia="標楷體" w:hAnsi="標楷體" w:cs="新細明體" w:hint="eastAsia"/>
          <w:b/>
          <w:bCs/>
          <w:color w:val="333399"/>
          <w:kern w:val="0"/>
          <w:shd w:val="clear" w:color="auto" w:fill="FFFF99"/>
        </w:rPr>
        <w:t>一六問：經費稽核委員會委員之任期多久</w:t>
      </w:r>
      <w:proofErr w:type="gramStart"/>
      <w:r>
        <w:rPr>
          <w:rFonts w:ascii="標楷體" w:eastAsia="標楷體" w:hAnsi="標楷體" w:cs="新細明體" w:hint="eastAsia"/>
          <w:b/>
          <w:bCs/>
          <w:color w:val="333399"/>
          <w:kern w:val="0"/>
          <w:shd w:val="clear" w:color="auto" w:fill="FFFF99"/>
        </w:rPr>
        <w:t>﹖</w:t>
      </w:r>
      <w:proofErr w:type="gramEnd"/>
      <w:r>
        <w:rPr>
          <w:rFonts w:ascii="標楷體" w:eastAsia="標楷體" w:hAnsi="標楷體" w:cs="新細明體" w:hint="eastAsia"/>
          <w:b/>
          <w:bCs/>
          <w:color w:val="333399"/>
          <w:kern w:val="0"/>
          <w:shd w:val="clear" w:color="auto" w:fill="FFFF99"/>
        </w:rPr>
        <w:t>非校務會議代表可否在校務會議中被推選為其委員？</w:t>
      </w:r>
    </w:p>
    <w:p w:rsidR="008A319C" w:rsidRDefault="008A319C">
      <w:pPr>
        <w:widowControl/>
        <w:tabs>
          <w:tab w:val="num" w:pos="1477"/>
        </w:tabs>
        <w:spacing w:line="400" w:lineRule="exact"/>
        <w:ind w:left="975" w:hanging="975"/>
        <w:jc w:val="both"/>
        <w:rPr>
          <w:rFonts w:ascii="標楷體" w:eastAsia="標楷體" w:hAnsi="標楷體" w:cs="新細明體" w:hint="eastAsia"/>
          <w:kern w:val="0"/>
        </w:rPr>
      </w:pPr>
      <w:r>
        <w:rPr>
          <w:rFonts w:ascii="標楷體" w:eastAsia="標楷體" w:hAnsi="標楷體" w:cs="新細明體" w:hint="eastAsia"/>
          <w:kern w:val="0"/>
        </w:rPr>
        <w:t>答：</w:t>
      </w:r>
    </w:p>
    <w:p w:rsidR="008A319C" w:rsidRDefault="008A319C">
      <w:pPr>
        <w:widowControl/>
        <w:numPr>
          <w:ilvl w:val="0"/>
          <w:numId w:val="19"/>
        </w:numPr>
        <w:tabs>
          <w:tab w:val="clear" w:pos="360"/>
          <w:tab w:val="num" w:pos="540"/>
        </w:tabs>
        <w:spacing w:line="400" w:lineRule="exact"/>
        <w:ind w:left="540" w:hanging="540"/>
        <w:jc w:val="both"/>
        <w:rPr>
          <w:rFonts w:ascii="標楷體" w:eastAsia="標楷體" w:hAnsi="標楷體" w:cs="新細明體" w:hint="eastAsia"/>
          <w:kern w:val="0"/>
        </w:rPr>
      </w:pPr>
      <w:r>
        <w:rPr>
          <w:rFonts w:ascii="標楷體" w:eastAsia="標楷體" w:hAnsi="標楷體" w:cs="新細明體" w:hint="eastAsia"/>
          <w:kern w:val="0"/>
        </w:rPr>
        <w:t>有關經費稽核委員之任期並未於國立大學校院校務基金設置條例中明定，復依「國立大學校院校務基金管理及監督辦法」，授權由各校訂定經費稽核委員會設置要點來規範。另查大學法及其施行細則並未規定校務會議代表係每年改選，其任期一年應屬學校各別之規定。</w:t>
      </w:r>
    </w:p>
    <w:p w:rsidR="008A319C" w:rsidRDefault="008A319C">
      <w:pPr>
        <w:widowControl/>
        <w:numPr>
          <w:ilvl w:val="0"/>
          <w:numId w:val="19"/>
        </w:numPr>
        <w:tabs>
          <w:tab w:val="clear" w:pos="360"/>
          <w:tab w:val="num" w:pos="540"/>
        </w:tabs>
        <w:spacing w:line="400" w:lineRule="exact"/>
        <w:ind w:left="540" w:hanging="540"/>
        <w:jc w:val="both"/>
        <w:rPr>
          <w:rFonts w:ascii="標楷體" w:eastAsia="標楷體" w:hAnsi="標楷體" w:cs="新細明體" w:hint="eastAsia"/>
          <w:kern w:val="0"/>
        </w:rPr>
      </w:pPr>
      <w:r>
        <w:rPr>
          <w:rFonts w:ascii="標楷體" w:eastAsia="標楷體" w:hAnsi="標楷體" w:cs="新細明體" w:hint="eastAsia"/>
          <w:kern w:val="0"/>
        </w:rPr>
        <w:t>依前開條例，經費稽核委員會委員既由校務會議成員中推選產生，故在推選或改選委員時，非校務會議代表應不在推選名單內。至於委員任期如未搭配校務會議成員任期而異動者（例如委員任期二年，校務會議代表每年改選），應僅規範推選或改選時應由校務會議成員中產生，即使第二年未任校務會議代表，應仍符合規定資格。</w:t>
      </w:r>
    </w:p>
    <w:p w:rsidR="008A319C" w:rsidRDefault="008A319C">
      <w:pPr>
        <w:widowControl/>
        <w:spacing w:line="400" w:lineRule="exact"/>
        <w:jc w:val="both"/>
        <w:rPr>
          <w:rFonts w:ascii="標楷體" w:eastAsia="標楷體" w:hAnsi="標楷體" w:cs="新細明體"/>
          <w:kern w:val="0"/>
        </w:rPr>
      </w:pPr>
    </w:p>
    <w:p w:rsidR="008A319C" w:rsidRDefault="008A319C">
      <w:pPr>
        <w:widowControl/>
        <w:spacing w:line="400" w:lineRule="exact"/>
        <w:jc w:val="both"/>
        <w:rPr>
          <w:rFonts w:ascii="標楷體" w:eastAsia="標楷體" w:hAnsi="標楷體" w:cs="新細明體" w:hint="eastAsia"/>
          <w:b/>
          <w:color w:val="333399"/>
          <w:kern w:val="0"/>
        </w:rPr>
      </w:pPr>
      <w:r>
        <w:rPr>
          <w:rFonts w:ascii="標楷體" w:eastAsia="標楷體" w:hAnsi="標楷體" w:cs="新細明體" w:hint="eastAsia"/>
          <w:b/>
          <w:color w:val="333399"/>
          <w:kern w:val="0"/>
        </w:rPr>
        <w:t>◎整編資料來源：國立大學校院校務基金問答彙編－教育部中等教育司編</w:t>
      </w:r>
    </w:p>
    <w:p w:rsidR="008A319C" w:rsidRDefault="008A319C">
      <w:pPr>
        <w:widowControl/>
        <w:spacing w:line="400" w:lineRule="exact"/>
        <w:ind w:firstLineChars="100" w:firstLine="240"/>
        <w:jc w:val="both"/>
        <w:rPr>
          <w:rFonts w:ascii="標楷體" w:eastAsia="標楷體" w:hAnsi="標楷體" w:cs="新細明體" w:hint="eastAsia"/>
          <w:b/>
          <w:color w:val="333399"/>
          <w:kern w:val="0"/>
          <w:szCs w:val="36"/>
        </w:rPr>
      </w:pPr>
      <w:r>
        <w:rPr>
          <w:rFonts w:ascii="標楷體" w:eastAsia="標楷體" w:hAnsi="標楷體" w:cs="新細明體" w:hint="eastAsia"/>
          <w:b/>
          <w:color w:val="333399"/>
          <w:kern w:val="0"/>
        </w:rPr>
        <w:t>網        址：</w:t>
      </w:r>
      <w:hyperlink r:id="rId7" w:tgtFrame="_blank" w:history="1">
        <w:r>
          <w:rPr>
            <w:rStyle w:val="a9"/>
            <w:rFonts w:ascii="標楷體" w:eastAsia="標楷體" w:hAnsi="標楷體" w:cs="新細明體"/>
            <w:b/>
            <w:color w:val="333399"/>
            <w:kern w:val="0"/>
          </w:rPr>
          <w:t>http://www.ntnu.edu.tw/accwww/o</w:t>
        </w:r>
        <w:r>
          <w:rPr>
            <w:rStyle w:val="a9"/>
            <w:rFonts w:ascii="標楷體" w:eastAsia="標楷體" w:hAnsi="標楷體" w:cs="新細明體"/>
            <w:b/>
            <w:color w:val="333399"/>
            <w:kern w:val="0"/>
          </w:rPr>
          <w:t>l</w:t>
        </w:r>
        <w:r>
          <w:rPr>
            <w:rStyle w:val="a9"/>
            <w:rFonts w:ascii="標楷體" w:eastAsia="標楷體" w:hAnsi="標楷體" w:cs="新細明體"/>
            <w:b/>
            <w:color w:val="333399"/>
            <w:kern w:val="0"/>
          </w:rPr>
          <w:t>d/laws/accbook20.htm</w:t>
        </w:r>
      </w:hyperlink>
    </w:p>
    <w:sectPr w:rsidR="008A319C">
      <w:footerReference w:type="default" r:id="rId8"/>
      <w:pgSz w:w="11906" w:h="16838" w:code="9"/>
      <w:pgMar w:top="1134" w:right="851" w:bottom="1134" w:left="85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29" w:rsidRDefault="00A21429">
      <w:r>
        <w:separator/>
      </w:r>
    </w:p>
  </w:endnote>
  <w:endnote w:type="continuationSeparator" w:id="0">
    <w:p w:rsidR="00A21429" w:rsidRDefault="00A21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9C" w:rsidRDefault="008A319C">
    <w:pPr>
      <w:pStyle w:val="a6"/>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sidR="00366490">
      <w:rPr>
        <w:rStyle w:val="a7"/>
        <w:noProof/>
        <w:sz w:val="24"/>
        <w:szCs w:val="24"/>
      </w:rPr>
      <w:t>1</w:t>
    </w:r>
    <w:r>
      <w:rPr>
        <w:rStyle w:val="a7"/>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29" w:rsidRDefault="00A21429">
      <w:r>
        <w:separator/>
      </w:r>
    </w:p>
  </w:footnote>
  <w:footnote w:type="continuationSeparator" w:id="0">
    <w:p w:rsidR="00A21429" w:rsidRDefault="00A21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C70"/>
    <w:multiLevelType w:val="hybridMultilevel"/>
    <w:tmpl w:val="C5747C70"/>
    <w:lvl w:ilvl="0" w:tplc="A09AC27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431A4A"/>
    <w:multiLevelType w:val="hybridMultilevel"/>
    <w:tmpl w:val="DC683F58"/>
    <w:lvl w:ilvl="0" w:tplc="3EBE93B4">
      <w:start w:val="1"/>
      <w:numFmt w:val="taiwaneseCountingThousand"/>
      <w:lvlText w:val="%1、"/>
      <w:lvlJc w:val="left"/>
      <w:pPr>
        <w:tabs>
          <w:tab w:val="num" w:pos="380"/>
        </w:tabs>
        <w:ind w:left="380" w:hanging="360"/>
      </w:pPr>
      <w:rPr>
        <w:rFonts w:hint="eastAsia"/>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2">
    <w:nsid w:val="1B4B4736"/>
    <w:multiLevelType w:val="hybridMultilevel"/>
    <w:tmpl w:val="C6B82F12"/>
    <w:lvl w:ilvl="0" w:tplc="59FC842A">
      <w:start w:val="5"/>
      <w:numFmt w:val="taiwaneseCountingThousand"/>
      <w:lvlText w:val="第%1條"/>
      <w:lvlJc w:val="left"/>
      <w:pPr>
        <w:tabs>
          <w:tab w:val="num" w:pos="1304"/>
        </w:tabs>
        <w:ind w:left="1304" w:hanging="1304"/>
      </w:pPr>
      <w:rPr>
        <w:rFonts w:cs="Times New Roman" w:hint="eastAsia"/>
      </w:rPr>
    </w:lvl>
    <w:lvl w:ilvl="1" w:tplc="04090019">
      <w:start w:val="1"/>
      <w:numFmt w:val="ideographTraditional"/>
      <w:lvlText w:val="%2、"/>
      <w:lvlJc w:val="left"/>
      <w:pPr>
        <w:tabs>
          <w:tab w:val="num" w:pos="960"/>
        </w:tabs>
        <w:ind w:left="960" w:hanging="480"/>
      </w:pPr>
    </w:lvl>
    <w:lvl w:ilvl="2" w:tplc="4EF2042C">
      <w:start w:val="1"/>
      <w:numFmt w:val="taiwaneseCountingThousand"/>
      <w:lvlText w:val="（%3）"/>
      <w:lvlJc w:val="left"/>
      <w:pPr>
        <w:tabs>
          <w:tab w:val="num" w:pos="1588"/>
        </w:tabs>
        <w:ind w:left="1588" w:hanging="628"/>
      </w:pPr>
      <w:rPr>
        <w:rFonts w:ascii="新細明體" w:eastAsia="新細明體" w:hAnsi="新細明體" w:cs="新細明體"/>
      </w:rPr>
    </w:lvl>
    <w:lvl w:ilvl="3" w:tplc="0F1AACEE">
      <w:start w:val="1"/>
      <w:numFmt w:val="taiwaneseCountingThousand"/>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8E0E9B"/>
    <w:multiLevelType w:val="hybridMultilevel"/>
    <w:tmpl w:val="E6D06554"/>
    <w:lvl w:ilvl="0" w:tplc="A0904300">
      <w:start w:val="1"/>
      <w:numFmt w:val="decimal"/>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A11A26"/>
    <w:multiLevelType w:val="hybridMultilevel"/>
    <w:tmpl w:val="B568D1EC"/>
    <w:lvl w:ilvl="0" w:tplc="3EBE93B4">
      <w:start w:val="1"/>
      <w:numFmt w:val="taiwaneseCountingThousand"/>
      <w:lvlText w:val="%1、"/>
      <w:lvlJc w:val="left"/>
      <w:pPr>
        <w:tabs>
          <w:tab w:val="num" w:pos="380"/>
        </w:tabs>
        <w:ind w:left="3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0653B8"/>
    <w:multiLevelType w:val="hybridMultilevel"/>
    <w:tmpl w:val="035C293E"/>
    <w:lvl w:ilvl="0" w:tplc="FBE2BEF2">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6F6A69"/>
    <w:multiLevelType w:val="hybridMultilevel"/>
    <w:tmpl w:val="850243FA"/>
    <w:lvl w:ilvl="0" w:tplc="1CFC332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9D2B1A"/>
    <w:multiLevelType w:val="hybridMultilevel"/>
    <w:tmpl w:val="9CF4CE96"/>
    <w:lvl w:ilvl="0" w:tplc="A0904300">
      <w:start w:val="1"/>
      <w:numFmt w:val="decimal"/>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1378AF"/>
    <w:multiLevelType w:val="hybridMultilevel"/>
    <w:tmpl w:val="46CC7CE4"/>
    <w:lvl w:ilvl="0" w:tplc="A0904300">
      <w:start w:val="1"/>
      <w:numFmt w:val="decimal"/>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9A7FFE"/>
    <w:multiLevelType w:val="hybridMultilevel"/>
    <w:tmpl w:val="2056CF68"/>
    <w:lvl w:ilvl="0" w:tplc="2196DB40">
      <w:start w:val="1"/>
      <w:numFmt w:val="taiwaneseCountingThousand"/>
      <w:lvlText w:val="%1、"/>
      <w:lvlJc w:val="left"/>
      <w:pPr>
        <w:tabs>
          <w:tab w:val="num" w:pos="628"/>
        </w:tabs>
        <w:ind w:left="628" w:hanging="62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4DC391A"/>
    <w:multiLevelType w:val="hybridMultilevel"/>
    <w:tmpl w:val="EAD45998"/>
    <w:lvl w:ilvl="0" w:tplc="A322FA7C">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0E4B5D"/>
    <w:multiLevelType w:val="hybridMultilevel"/>
    <w:tmpl w:val="0C3E18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D93FF0"/>
    <w:multiLevelType w:val="multilevel"/>
    <w:tmpl w:val="089CC06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5D2106E3"/>
    <w:multiLevelType w:val="multilevel"/>
    <w:tmpl w:val="A2BA3C94"/>
    <w:lvl w:ilvl="0">
      <w:start w:val="5"/>
      <w:numFmt w:val="taiwaneseCountingThousand"/>
      <w:lvlText w:val="第%1條"/>
      <w:lvlJc w:val="left"/>
      <w:pPr>
        <w:tabs>
          <w:tab w:val="num" w:pos="1304"/>
        </w:tabs>
        <w:ind w:left="1304" w:hanging="1304"/>
      </w:pPr>
      <w:rPr>
        <w:rFonts w:cs="Times New Roman" w:hint="eastAsia"/>
      </w:rPr>
    </w:lvl>
    <w:lvl w:ilvl="1">
      <w:start w:val="1"/>
      <w:numFmt w:val="ideographTraditional"/>
      <w:lvlText w:val="%2、"/>
      <w:lvlJc w:val="left"/>
      <w:pPr>
        <w:tabs>
          <w:tab w:val="num" w:pos="960"/>
        </w:tabs>
        <w:ind w:left="960" w:hanging="480"/>
      </w:pPr>
    </w:lvl>
    <w:lvl w:ilvl="2">
      <w:start w:val="1"/>
      <w:numFmt w:val="taiwaneseCountingThousand"/>
      <w:lvlText w:val="%3、"/>
      <w:lvlJc w:val="left"/>
      <w:pPr>
        <w:tabs>
          <w:tab w:val="num" w:pos="1588"/>
        </w:tabs>
        <w:ind w:left="1588" w:hanging="628"/>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280173A"/>
    <w:multiLevelType w:val="hybridMultilevel"/>
    <w:tmpl w:val="0DB05F3A"/>
    <w:lvl w:ilvl="0" w:tplc="9ACAB066">
      <w:start w:val="7"/>
      <w:numFmt w:val="taiwaneseCountingThousand"/>
      <w:lvlText w:val="第%1條"/>
      <w:lvlJc w:val="left"/>
      <w:pPr>
        <w:tabs>
          <w:tab w:val="num" w:pos="1304"/>
        </w:tabs>
        <w:ind w:left="1304" w:hanging="1304"/>
      </w:pPr>
      <w:rPr>
        <w:rFonts w:cs="Times New Roman" w:hint="eastAsia"/>
      </w:rPr>
    </w:lvl>
    <w:lvl w:ilvl="1" w:tplc="7092FAB2">
      <w:start w:val="1"/>
      <w:numFmt w:val="taiwaneseCountingThousand"/>
      <w:lvlText w:val="%2、"/>
      <w:lvlJc w:val="left"/>
      <w:pPr>
        <w:tabs>
          <w:tab w:val="num" w:pos="960"/>
        </w:tabs>
        <w:ind w:left="960" w:hanging="480"/>
      </w:pPr>
      <w:rPr>
        <w:rFonts w:hint="default"/>
      </w:rPr>
    </w:lvl>
    <w:lvl w:ilvl="2" w:tplc="FEC8D24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73E72FF"/>
    <w:multiLevelType w:val="hybridMultilevel"/>
    <w:tmpl w:val="227A0DFA"/>
    <w:lvl w:ilvl="0" w:tplc="AF2A55CE">
      <w:start w:val="1"/>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DBD2AB2"/>
    <w:multiLevelType w:val="hybridMultilevel"/>
    <w:tmpl w:val="72A6AE9A"/>
    <w:lvl w:ilvl="0" w:tplc="A09AC27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1F2A7C"/>
    <w:multiLevelType w:val="hybridMultilevel"/>
    <w:tmpl w:val="1F2C255A"/>
    <w:lvl w:ilvl="0" w:tplc="A0904300">
      <w:start w:val="1"/>
      <w:numFmt w:val="decimal"/>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6600AEC"/>
    <w:multiLevelType w:val="hybridMultilevel"/>
    <w:tmpl w:val="C382D584"/>
    <w:lvl w:ilvl="0" w:tplc="D8A23BCE">
      <w:start w:val="1"/>
      <w:numFmt w:val="taiwaneseCountingThousand"/>
      <w:lvlText w:val="%1、"/>
      <w:lvlJc w:val="left"/>
      <w:pPr>
        <w:tabs>
          <w:tab w:val="num" w:pos="400"/>
        </w:tabs>
        <w:ind w:left="400" w:hanging="360"/>
      </w:pPr>
      <w:rPr>
        <w:rFonts w:hint="default"/>
      </w:rPr>
    </w:lvl>
    <w:lvl w:ilvl="1" w:tplc="04090019" w:tentative="1">
      <w:start w:val="1"/>
      <w:numFmt w:val="ideographTraditional"/>
      <w:lvlText w:val="%2、"/>
      <w:lvlJc w:val="left"/>
      <w:pPr>
        <w:tabs>
          <w:tab w:val="num" w:pos="1000"/>
        </w:tabs>
        <w:ind w:left="1000" w:hanging="480"/>
      </w:pPr>
    </w:lvl>
    <w:lvl w:ilvl="2" w:tplc="0409001B" w:tentative="1">
      <w:start w:val="1"/>
      <w:numFmt w:val="lowerRoman"/>
      <w:lvlText w:val="%3."/>
      <w:lvlJc w:val="right"/>
      <w:pPr>
        <w:tabs>
          <w:tab w:val="num" w:pos="1480"/>
        </w:tabs>
        <w:ind w:left="1480" w:hanging="480"/>
      </w:pPr>
    </w:lvl>
    <w:lvl w:ilvl="3" w:tplc="0409000F" w:tentative="1">
      <w:start w:val="1"/>
      <w:numFmt w:val="decimal"/>
      <w:lvlText w:val="%4."/>
      <w:lvlJc w:val="left"/>
      <w:pPr>
        <w:tabs>
          <w:tab w:val="num" w:pos="1960"/>
        </w:tabs>
        <w:ind w:left="1960" w:hanging="480"/>
      </w:pPr>
    </w:lvl>
    <w:lvl w:ilvl="4" w:tplc="04090019" w:tentative="1">
      <w:start w:val="1"/>
      <w:numFmt w:val="ideographTraditional"/>
      <w:lvlText w:val="%5、"/>
      <w:lvlJc w:val="left"/>
      <w:pPr>
        <w:tabs>
          <w:tab w:val="num" w:pos="2440"/>
        </w:tabs>
        <w:ind w:left="2440" w:hanging="480"/>
      </w:pPr>
    </w:lvl>
    <w:lvl w:ilvl="5" w:tplc="0409001B" w:tentative="1">
      <w:start w:val="1"/>
      <w:numFmt w:val="lowerRoman"/>
      <w:lvlText w:val="%6."/>
      <w:lvlJc w:val="right"/>
      <w:pPr>
        <w:tabs>
          <w:tab w:val="num" w:pos="2920"/>
        </w:tabs>
        <w:ind w:left="2920" w:hanging="480"/>
      </w:pPr>
    </w:lvl>
    <w:lvl w:ilvl="6" w:tplc="0409000F" w:tentative="1">
      <w:start w:val="1"/>
      <w:numFmt w:val="decimal"/>
      <w:lvlText w:val="%7."/>
      <w:lvlJc w:val="left"/>
      <w:pPr>
        <w:tabs>
          <w:tab w:val="num" w:pos="3400"/>
        </w:tabs>
        <w:ind w:left="3400" w:hanging="480"/>
      </w:pPr>
    </w:lvl>
    <w:lvl w:ilvl="7" w:tplc="04090019" w:tentative="1">
      <w:start w:val="1"/>
      <w:numFmt w:val="ideographTraditional"/>
      <w:lvlText w:val="%8、"/>
      <w:lvlJc w:val="left"/>
      <w:pPr>
        <w:tabs>
          <w:tab w:val="num" w:pos="3880"/>
        </w:tabs>
        <w:ind w:left="3880" w:hanging="480"/>
      </w:pPr>
    </w:lvl>
    <w:lvl w:ilvl="8" w:tplc="0409001B" w:tentative="1">
      <w:start w:val="1"/>
      <w:numFmt w:val="lowerRoman"/>
      <w:lvlText w:val="%9."/>
      <w:lvlJc w:val="right"/>
      <w:pPr>
        <w:tabs>
          <w:tab w:val="num" w:pos="4360"/>
        </w:tabs>
        <w:ind w:left="4360" w:hanging="480"/>
      </w:pPr>
    </w:lvl>
  </w:abstractNum>
  <w:abstractNum w:abstractNumId="19">
    <w:nsid w:val="767C45BB"/>
    <w:multiLevelType w:val="hybridMultilevel"/>
    <w:tmpl w:val="3F9463CC"/>
    <w:lvl w:ilvl="0" w:tplc="7D3A78E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79E2EEF"/>
    <w:multiLevelType w:val="hybridMultilevel"/>
    <w:tmpl w:val="233E727A"/>
    <w:lvl w:ilvl="0" w:tplc="A29233D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C9236C2"/>
    <w:multiLevelType w:val="hybridMultilevel"/>
    <w:tmpl w:val="DA30F5CE"/>
    <w:lvl w:ilvl="0" w:tplc="73F63BF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F081ADF"/>
    <w:multiLevelType w:val="hybridMultilevel"/>
    <w:tmpl w:val="7EC49E50"/>
    <w:lvl w:ilvl="0" w:tplc="A09AC27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5"/>
  </w:num>
  <w:num w:numId="3">
    <w:abstractNumId w:val="18"/>
  </w:num>
  <w:num w:numId="4">
    <w:abstractNumId w:val="15"/>
  </w:num>
  <w:num w:numId="5">
    <w:abstractNumId w:val="10"/>
  </w:num>
  <w:num w:numId="6">
    <w:abstractNumId w:val="21"/>
  </w:num>
  <w:num w:numId="7">
    <w:abstractNumId w:val="1"/>
  </w:num>
  <w:num w:numId="8">
    <w:abstractNumId w:val="4"/>
  </w:num>
  <w:num w:numId="9">
    <w:abstractNumId w:val="20"/>
  </w:num>
  <w:num w:numId="10">
    <w:abstractNumId w:val="6"/>
  </w:num>
  <w:num w:numId="11">
    <w:abstractNumId w:val="2"/>
  </w:num>
  <w:num w:numId="12">
    <w:abstractNumId w:val="13"/>
  </w:num>
  <w:num w:numId="13">
    <w:abstractNumId w:val="14"/>
  </w:num>
  <w:num w:numId="14">
    <w:abstractNumId w:val="11"/>
  </w:num>
  <w:num w:numId="15">
    <w:abstractNumId w:val="9"/>
  </w:num>
  <w:num w:numId="16">
    <w:abstractNumId w:val="12"/>
  </w:num>
  <w:num w:numId="17">
    <w:abstractNumId w:val="0"/>
  </w:num>
  <w:num w:numId="18">
    <w:abstractNumId w:val="16"/>
  </w:num>
  <w:num w:numId="19">
    <w:abstractNumId w:val="22"/>
  </w:num>
  <w:num w:numId="20">
    <w:abstractNumId w:val="3"/>
  </w:num>
  <w:num w:numId="21">
    <w:abstractNumId w:val="8"/>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F1B"/>
    <w:rsid w:val="00366490"/>
    <w:rsid w:val="008A319C"/>
    <w:rsid w:val="008B5FE6"/>
    <w:rsid w:val="00A21429"/>
    <w:rsid w:val="00C31F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a3">
    <w:name w:val="Body Text Indent"/>
    <w:basedOn w:val="a"/>
    <w:semiHidden/>
    <w:pPr>
      <w:widowControl/>
      <w:spacing w:before="100" w:beforeAutospacing="1" w:after="100" w:afterAutospacing="1"/>
    </w:pPr>
    <w:rPr>
      <w:rFonts w:ascii="新細明體" w:hAnsi="新細明體" w:cs="新細明體"/>
      <w:kern w:val="0"/>
    </w:rPr>
  </w:style>
  <w:style w:type="paragraph" w:customStyle="1" w:styleId="a4">
    <w:name w:val="a"/>
    <w:basedOn w:val="a"/>
    <w:pPr>
      <w:widowControl/>
      <w:spacing w:before="100" w:beforeAutospacing="1" w:after="100" w:afterAutospacing="1"/>
    </w:pPr>
    <w:rPr>
      <w:rFonts w:ascii="新細明體" w:hAnsi="新細明體" w:cs="新細明體"/>
      <w:kern w:val="0"/>
    </w:rPr>
  </w:style>
  <w:style w:type="paragraph" w:styleId="a5">
    <w:name w:val="header"/>
    <w:basedOn w:val="a"/>
    <w:semiHidden/>
    <w:pPr>
      <w:tabs>
        <w:tab w:val="center" w:pos="4153"/>
        <w:tab w:val="right" w:pos="8306"/>
      </w:tabs>
      <w:snapToGrid w:val="0"/>
    </w:pPr>
    <w:rPr>
      <w:sz w:val="20"/>
      <w:szCs w:val="2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paragraph" w:styleId="a8">
    <w:name w:val="Plain Text"/>
    <w:basedOn w:val="a"/>
    <w:semiHidden/>
    <w:pPr>
      <w:widowControl/>
      <w:spacing w:before="100" w:beforeAutospacing="1" w:after="100" w:afterAutospacing="1"/>
    </w:pPr>
    <w:rPr>
      <w:rFonts w:ascii="新細明體" w:hAnsi="新細明體" w:cs="新細明體"/>
      <w:kern w:val="0"/>
    </w:rPr>
  </w:style>
  <w:style w:type="character" w:styleId="a9">
    <w:name w:val="Hyperlink"/>
    <w:semiHidden/>
    <w:rPr>
      <w:color w:val="0000FF"/>
      <w:u w:val="single"/>
    </w:rPr>
  </w:style>
  <w:style w:type="character" w:styleId="aa">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nu.edu.tw/accwww/old/laws/accbook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5984</Words>
  <Characters>218</Characters>
  <Application>Microsoft Office Word</Application>
  <DocSecurity>0</DocSecurity>
  <Lines>1</Lines>
  <Paragraphs>12</Paragraphs>
  <ScaleCrop>false</ScaleCrop>
  <Company/>
  <LinksUpToDate>false</LinksUpToDate>
  <CharactersWithSpaces>6190</CharactersWithSpaces>
  <SharedDoc>false</SharedDoc>
  <HLinks>
    <vt:vector size="6" baseType="variant">
      <vt:variant>
        <vt:i4>64</vt:i4>
      </vt:variant>
      <vt:variant>
        <vt:i4>0</vt:i4>
      </vt:variant>
      <vt:variant>
        <vt:i4>0</vt:i4>
      </vt:variant>
      <vt:variant>
        <vt:i4>5</vt:i4>
      </vt:variant>
      <vt:variant>
        <vt:lpwstr>http://www.ntnu.edu.tw/accwww/old/laws/accbook20.htm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壹、校務基金之基本理念</dc:title>
  <dc:subject/>
  <dc:creator>acc</dc:creator>
  <cp:keywords/>
  <cp:lastModifiedBy>USER</cp:lastModifiedBy>
  <cp:revision>2</cp:revision>
  <cp:lastPrinted>2008-09-25T02:59:00Z</cp:lastPrinted>
  <dcterms:created xsi:type="dcterms:W3CDTF">2015-01-27T15:23:00Z</dcterms:created>
  <dcterms:modified xsi:type="dcterms:W3CDTF">2015-01-27T15:23:00Z</dcterms:modified>
</cp:coreProperties>
</file>